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56" w:rsidRPr="0015371C" w:rsidRDefault="00C14B99" w:rsidP="0048411C">
      <w:pPr>
        <w:tabs>
          <w:tab w:val="left" w:pos="720"/>
        </w:tabs>
        <w:spacing w:after="0"/>
        <w:jc w:val="both"/>
        <w:rPr>
          <w:rFonts w:ascii="Tahoma" w:eastAsiaTheme="minorEastAsia" w:hAnsi="Tahoma" w:cs="Tahoma"/>
          <w:sz w:val="26"/>
          <w:szCs w:val="26"/>
          <w:lang w:val="ro-RO"/>
        </w:rPr>
      </w:pPr>
      <w:r w:rsidRPr="0015371C">
        <w:rPr>
          <w:rFonts w:ascii="Tahoma" w:eastAsiaTheme="minorEastAsia" w:hAnsi="Tahoma" w:cs="Tahoma"/>
          <w:sz w:val="26"/>
          <w:szCs w:val="26"/>
          <w:lang w:val="ro-RO"/>
        </w:rPr>
        <w:t xml:space="preserve">Nr. </w:t>
      </w:r>
      <w:r w:rsidR="00B50256" w:rsidRPr="0015371C">
        <w:rPr>
          <w:rFonts w:ascii="Tahoma" w:eastAsiaTheme="minorEastAsia" w:hAnsi="Tahoma" w:cs="Tahoma"/>
          <w:sz w:val="26"/>
          <w:szCs w:val="26"/>
          <w:lang w:val="ro-RO"/>
        </w:rPr>
        <w:t>2742 din 13.10</w:t>
      </w:r>
      <w:r w:rsidRPr="0015371C">
        <w:rPr>
          <w:rFonts w:ascii="Tahoma" w:eastAsiaTheme="minorEastAsia" w:hAnsi="Tahoma" w:cs="Tahoma"/>
          <w:sz w:val="26"/>
          <w:szCs w:val="26"/>
          <w:lang w:val="ro-RO"/>
        </w:rPr>
        <w:t>.2025</w:t>
      </w:r>
    </w:p>
    <w:p w:rsidR="00FA6BD4" w:rsidRPr="0015371C" w:rsidRDefault="00FA6BD4" w:rsidP="0048411C">
      <w:pPr>
        <w:tabs>
          <w:tab w:val="left" w:pos="720"/>
        </w:tabs>
        <w:spacing w:after="0"/>
        <w:jc w:val="both"/>
        <w:rPr>
          <w:rFonts w:ascii="Tahoma" w:eastAsiaTheme="minorEastAsia" w:hAnsi="Tahoma" w:cs="Tahoma"/>
          <w:sz w:val="26"/>
          <w:szCs w:val="26"/>
          <w:lang w:val="ro-RO"/>
        </w:rPr>
      </w:pPr>
    </w:p>
    <w:p w:rsidR="00B50256" w:rsidRPr="0015371C" w:rsidRDefault="00BA12DA" w:rsidP="0048411C">
      <w:pPr>
        <w:tabs>
          <w:tab w:val="left" w:pos="3870"/>
        </w:tabs>
        <w:spacing w:after="0"/>
        <w:jc w:val="both"/>
        <w:rPr>
          <w:rFonts w:ascii="Tahoma" w:hAnsi="Tahoma" w:cs="Tahoma"/>
          <w:b/>
          <w:sz w:val="26"/>
          <w:szCs w:val="26"/>
          <w:lang w:val="ro-RO"/>
        </w:rPr>
      </w:pPr>
      <w:r w:rsidRPr="0015371C">
        <w:rPr>
          <w:rFonts w:ascii="Tahoma" w:hAnsi="Tahoma" w:cs="Tahoma"/>
          <w:b/>
          <w:sz w:val="26"/>
          <w:szCs w:val="26"/>
          <w:lang w:val="ro-RO"/>
        </w:rPr>
        <w:t>Către,</w:t>
      </w:r>
    </w:p>
    <w:p w:rsidR="00B50256" w:rsidRPr="0015371C" w:rsidRDefault="00B50256" w:rsidP="0048411C">
      <w:pPr>
        <w:tabs>
          <w:tab w:val="left" w:pos="3870"/>
        </w:tabs>
        <w:spacing w:after="0"/>
        <w:jc w:val="both"/>
        <w:rPr>
          <w:rFonts w:ascii="Tahoma" w:hAnsi="Tahoma" w:cs="Tahoma"/>
          <w:b/>
          <w:sz w:val="26"/>
          <w:szCs w:val="26"/>
          <w:lang w:val="ro-RO"/>
        </w:rPr>
      </w:pPr>
      <w:r w:rsidRPr="0015371C">
        <w:rPr>
          <w:rFonts w:ascii="Tahoma" w:hAnsi="Tahoma" w:cs="Tahoma"/>
          <w:b/>
          <w:sz w:val="26"/>
          <w:szCs w:val="26"/>
          <w:lang w:val="ro-RO"/>
        </w:rPr>
        <w:t>Membrii ADI Deșeuri Bistrița-Năsăud</w:t>
      </w:r>
    </w:p>
    <w:p w:rsidR="00B50256" w:rsidRPr="0015371C" w:rsidRDefault="00B50256" w:rsidP="0048411C">
      <w:pPr>
        <w:tabs>
          <w:tab w:val="left" w:pos="3870"/>
        </w:tabs>
        <w:spacing w:after="0"/>
        <w:jc w:val="both"/>
        <w:rPr>
          <w:rFonts w:ascii="Tahoma" w:hAnsi="Tahoma" w:cs="Tahoma"/>
          <w:b/>
          <w:sz w:val="26"/>
          <w:szCs w:val="26"/>
          <w:lang w:val="ro-RO"/>
        </w:rPr>
      </w:pPr>
      <w:r w:rsidRPr="0015371C">
        <w:rPr>
          <w:rFonts w:ascii="Tahoma" w:hAnsi="Tahoma" w:cs="Tahoma"/>
          <w:b/>
          <w:sz w:val="26"/>
          <w:szCs w:val="26"/>
          <w:lang w:val="ro-RO"/>
        </w:rPr>
        <w:t>În atenția: Domnilor primari</w:t>
      </w:r>
    </w:p>
    <w:p w:rsidR="00B50256" w:rsidRPr="0015371C" w:rsidRDefault="00B50256" w:rsidP="0048411C">
      <w:pPr>
        <w:tabs>
          <w:tab w:val="left" w:pos="1440"/>
        </w:tabs>
        <w:spacing w:after="0"/>
        <w:jc w:val="both"/>
        <w:rPr>
          <w:rFonts w:ascii="Tahoma" w:hAnsi="Tahoma" w:cs="Tahoma"/>
          <w:b/>
          <w:sz w:val="26"/>
          <w:szCs w:val="26"/>
          <w:lang w:val="ro-RO"/>
        </w:rPr>
      </w:pPr>
      <w:r w:rsidRPr="0015371C">
        <w:rPr>
          <w:rFonts w:ascii="Tahoma" w:hAnsi="Tahoma" w:cs="Tahoma"/>
          <w:b/>
          <w:sz w:val="26"/>
          <w:szCs w:val="26"/>
          <w:lang w:val="ro-RO"/>
        </w:rPr>
        <w:tab/>
        <w:t xml:space="preserve"> Doamnelor/ domnilor secretari</w:t>
      </w:r>
      <w:r w:rsidR="00BA12DA" w:rsidRPr="0015371C">
        <w:rPr>
          <w:rFonts w:ascii="Tahoma" w:hAnsi="Tahoma" w:cs="Tahoma"/>
          <w:b/>
          <w:sz w:val="26"/>
          <w:szCs w:val="26"/>
          <w:lang w:val="ro-RO"/>
        </w:rPr>
        <w:t xml:space="preserve"> </w:t>
      </w:r>
    </w:p>
    <w:p w:rsidR="00B50256" w:rsidRPr="0015371C" w:rsidRDefault="00B50256" w:rsidP="0048411C">
      <w:pPr>
        <w:tabs>
          <w:tab w:val="left" w:pos="3870"/>
        </w:tabs>
        <w:spacing w:after="0"/>
        <w:jc w:val="both"/>
        <w:rPr>
          <w:rFonts w:ascii="Tahoma" w:hAnsi="Tahoma" w:cs="Tahoma"/>
          <w:b/>
          <w:sz w:val="26"/>
          <w:szCs w:val="26"/>
          <w:lang w:val="ro-RO"/>
        </w:rPr>
      </w:pPr>
    </w:p>
    <w:p w:rsidR="00B50256" w:rsidRPr="0015371C" w:rsidRDefault="00B50256" w:rsidP="0048411C">
      <w:pPr>
        <w:tabs>
          <w:tab w:val="left" w:pos="720"/>
          <w:tab w:val="left" w:pos="3870"/>
        </w:tabs>
        <w:spacing w:after="0"/>
        <w:jc w:val="both"/>
        <w:rPr>
          <w:rFonts w:ascii="Tahoma" w:hAnsi="Tahoma" w:cs="Tahoma"/>
          <w:sz w:val="26"/>
          <w:szCs w:val="26"/>
          <w:lang w:val="ro-RO"/>
        </w:rPr>
      </w:pPr>
      <w:r w:rsidRPr="0015371C">
        <w:rPr>
          <w:rFonts w:ascii="Tahoma" w:hAnsi="Tahoma" w:cs="Tahoma"/>
          <w:sz w:val="26"/>
          <w:szCs w:val="26"/>
          <w:lang w:val="ro-RO"/>
        </w:rPr>
        <w:tab/>
        <w:t>În data de 18.09.2025, prin adresa nr. 8829, înregistrată la sediul ADI Deșeuri BN sub nr. 2505 din 19.09.2025, operatorul SC Supercom SA a înai</w:t>
      </w:r>
      <w:r w:rsidR="0048411C">
        <w:rPr>
          <w:rFonts w:ascii="Tahoma" w:hAnsi="Tahoma" w:cs="Tahoma"/>
          <w:sz w:val="26"/>
          <w:szCs w:val="26"/>
          <w:lang w:val="ro-RO"/>
        </w:rPr>
        <w:t>n</w:t>
      </w:r>
      <w:r w:rsidRPr="0015371C">
        <w:rPr>
          <w:rFonts w:ascii="Tahoma" w:hAnsi="Tahoma" w:cs="Tahoma"/>
          <w:sz w:val="26"/>
          <w:szCs w:val="26"/>
          <w:lang w:val="ro-RO"/>
        </w:rPr>
        <w:t>tat solicitarea de ajustare a tarifelor practicate în baza Contractului de concesiune nr. 1277/2018.</w:t>
      </w:r>
    </w:p>
    <w:p w:rsidR="00B50256" w:rsidRPr="0015371C" w:rsidRDefault="00B50256" w:rsidP="0048411C">
      <w:pPr>
        <w:tabs>
          <w:tab w:val="left" w:pos="720"/>
        </w:tabs>
        <w:spacing w:after="0"/>
        <w:jc w:val="both"/>
        <w:rPr>
          <w:rFonts w:ascii="Tahoma" w:eastAsiaTheme="minorEastAsia" w:hAnsi="Tahoma" w:cs="Tahoma"/>
          <w:bCs/>
          <w:i/>
          <w:sz w:val="26"/>
          <w:szCs w:val="26"/>
          <w:lang w:val="ro-RO"/>
        </w:rPr>
      </w:pPr>
      <w:r w:rsidRPr="0015371C">
        <w:rPr>
          <w:rFonts w:ascii="Tahoma" w:hAnsi="Tahoma" w:cs="Tahoma"/>
          <w:sz w:val="26"/>
          <w:szCs w:val="26"/>
          <w:lang w:val="ro-RO"/>
        </w:rPr>
        <w:tab/>
        <w:t xml:space="preserve">Solicitarea a fost depusă cu respectarea termenelor prevăzute la art. 54, alin. (6) al Ordinului ANRSC nr. 640/2022, cu modificările și completările aduse prin Ordinul ANRSC nr. 324/2025, care limitează depunerea unor astfel de solicitări, până la data de 20 septembrie a anului curent: </w:t>
      </w:r>
      <w:r w:rsidRPr="0015371C">
        <w:rPr>
          <w:rFonts w:ascii="Tahoma" w:eastAsiaTheme="minorEastAsia" w:hAnsi="Tahoma" w:cs="Tahoma"/>
          <w:bCs/>
          <w:i/>
          <w:sz w:val="26"/>
          <w:szCs w:val="26"/>
          <w:lang w:val="ro-RO"/>
        </w:rPr>
        <w:t xml:space="preserve">„(6) Pentru aprobarea ajustării tarifului/tarifelor, </w:t>
      </w:r>
      <w:r w:rsidRPr="0015371C">
        <w:rPr>
          <w:rFonts w:ascii="Tahoma" w:eastAsiaTheme="minorEastAsia" w:hAnsi="Tahoma" w:cs="Tahoma"/>
          <w:bCs/>
          <w:i/>
          <w:sz w:val="26"/>
          <w:szCs w:val="26"/>
          <w:u w:val="single"/>
          <w:lang w:val="ro-RO"/>
        </w:rPr>
        <w:t>operatorii transmit anual</w:t>
      </w:r>
      <w:r w:rsidRPr="0015371C">
        <w:rPr>
          <w:rFonts w:ascii="Tahoma" w:eastAsiaTheme="minorEastAsia" w:hAnsi="Tahoma" w:cs="Tahoma"/>
          <w:bCs/>
          <w:i/>
          <w:sz w:val="26"/>
          <w:szCs w:val="26"/>
          <w:lang w:val="ro-RO"/>
        </w:rPr>
        <w:t>, până la data de 20 septembrie a anului curent, către autorităţile administraţiei publice locale ale unităţii/subdiviziunii administrativ-teritoriale sau, după caz, către asociaţia de dezvoltare intercomunitară, următoarele documente:</w:t>
      </w:r>
      <w:r w:rsidRPr="0015371C">
        <w:rPr>
          <w:rFonts w:ascii="Tahoma" w:eastAsiaTheme="minorEastAsia" w:hAnsi="Tahoma" w:cs="Tahoma"/>
          <w:bCs/>
          <w:i/>
          <w:sz w:val="26"/>
          <w:szCs w:val="26"/>
          <w:lang w:val="ro-RO"/>
        </w:rPr>
        <w:t xml:space="preserve"> (...)”</w:t>
      </w:r>
    </w:p>
    <w:p w:rsidR="00B50256" w:rsidRPr="0015371C" w:rsidRDefault="00B50256"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i/>
          <w:sz w:val="26"/>
          <w:szCs w:val="26"/>
          <w:lang w:val="ro-RO"/>
        </w:rPr>
        <w:tab/>
      </w:r>
      <w:r w:rsidRPr="0015371C">
        <w:rPr>
          <w:rFonts w:ascii="Tahoma" w:eastAsiaTheme="minorEastAsia" w:hAnsi="Tahoma" w:cs="Tahoma"/>
          <w:bCs/>
          <w:sz w:val="26"/>
          <w:szCs w:val="26"/>
          <w:lang w:val="ro-RO"/>
        </w:rPr>
        <w:t>Prevederea nou introdusă, referitoare la transmiterea anuală de către operatori a solicitărilor de ajustare a tarifelor, poate fi avută în vedere ca un drept legiferat, în vederea menținerii echilibrului contractual și implică obligația ADI, în baza mandatelor speciale acordate de membri prin Hotărâri de Consilii Locale, de a aproba</w:t>
      </w:r>
      <w:r w:rsidRPr="0015371C">
        <w:rPr>
          <w:rFonts w:ascii="Tahoma" w:eastAsiaTheme="minorEastAsia" w:hAnsi="Tahoma" w:cs="Tahoma"/>
          <w:bCs/>
          <w:sz w:val="26"/>
          <w:szCs w:val="26"/>
          <w:lang w:val="ro-RO"/>
        </w:rPr>
        <w:t xml:space="preserve"> sau </w:t>
      </w:r>
      <w:r w:rsidRPr="0015371C">
        <w:rPr>
          <w:rFonts w:ascii="Tahoma" w:eastAsiaTheme="minorEastAsia" w:hAnsi="Tahoma" w:cs="Tahoma"/>
          <w:bCs/>
          <w:sz w:val="26"/>
          <w:szCs w:val="26"/>
          <w:u w:val="single"/>
          <w:lang w:val="ro-RO"/>
        </w:rPr>
        <w:t>refuza justificat</w:t>
      </w:r>
      <w:r w:rsidRPr="0015371C">
        <w:rPr>
          <w:rFonts w:ascii="Tahoma" w:eastAsiaTheme="minorEastAsia" w:hAnsi="Tahoma" w:cs="Tahoma"/>
          <w:bCs/>
          <w:sz w:val="26"/>
          <w:szCs w:val="26"/>
          <w:lang w:val="ro-RO"/>
        </w:rPr>
        <w:t>,</w:t>
      </w:r>
      <w:r w:rsidRPr="0015371C">
        <w:rPr>
          <w:rFonts w:ascii="Tahoma" w:eastAsiaTheme="minorEastAsia" w:hAnsi="Tahoma" w:cs="Tahoma"/>
          <w:bCs/>
          <w:sz w:val="26"/>
          <w:szCs w:val="26"/>
          <w:lang w:val="ro-RO"/>
        </w:rPr>
        <w:t xml:space="preserve"> solicitările de ajustare</w:t>
      </w:r>
      <w:r w:rsidR="0061031C" w:rsidRPr="0015371C">
        <w:rPr>
          <w:rFonts w:ascii="Tahoma" w:eastAsiaTheme="minorEastAsia" w:hAnsi="Tahoma" w:cs="Tahoma"/>
          <w:bCs/>
          <w:sz w:val="26"/>
          <w:szCs w:val="26"/>
          <w:lang w:val="ro-RO"/>
        </w:rPr>
        <w:t xml:space="preserve"> ale tarifelor</w:t>
      </w:r>
      <w:r w:rsidRPr="0015371C">
        <w:rPr>
          <w:rFonts w:ascii="Tahoma" w:eastAsiaTheme="minorEastAsia" w:hAnsi="Tahoma" w:cs="Tahoma"/>
          <w:bCs/>
          <w:sz w:val="26"/>
          <w:szCs w:val="26"/>
          <w:lang w:val="ro-RO"/>
        </w:rPr>
        <w:t>.</w:t>
      </w:r>
    </w:p>
    <w:p w:rsidR="00B50256" w:rsidRPr="0015371C" w:rsidRDefault="00B50256"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sz w:val="26"/>
          <w:szCs w:val="26"/>
          <w:lang w:val="ro-RO"/>
        </w:rPr>
        <w:tab/>
        <w:t>Comparativ cu solicitarea de ajustare anterioară, au intervenit modificări legislative, inclusiv în ceea ce privește perioada pentru care se calculează parametrul de ajustare, conform art. 33, alin. (1) și alin. (1^2), lit. b) al Ordinului ANRSC 324/2025 de modificare a Ordinului 640/2022</w:t>
      </w:r>
      <w:r w:rsidRPr="0015371C">
        <w:rPr>
          <w:rFonts w:ascii="Tahoma" w:eastAsiaTheme="minorEastAsia" w:hAnsi="Tahoma" w:cs="Tahoma"/>
          <w:bCs/>
          <w:sz w:val="26"/>
          <w:szCs w:val="26"/>
          <w:lang w:val="ro-RO"/>
        </w:rPr>
        <w:t>.</w:t>
      </w:r>
    </w:p>
    <w:p w:rsidR="00B50256" w:rsidRPr="0015371C" w:rsidRDefault="00B50256"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sz w:val="26"/>
          <w:szCs w:val="26"/>
          <w:lang w:val="ro-RO"/>
        </w:rPr>
        <w:tab/>
      </w:r>
      <w:r w:rsidRPr="0015371C">
        <w:rPr>
          <w:rFonts w:ascii="Tahoma" w:eastAsiaTheme="minorEastAsia" w:hAnsi="Tahoma" w:cs="Tahoma"/>
          <w:bCs/>
          <w:sz w:val="26"/>
          <w:szCs w:val="26"/>
          <w:lang w:val="ro-RO"/>
        </w:rPr>
        <w:t>Anterior acestei modificări legislative, perioada de referință</w:t>
      </w:r>
      <w:r w:rsidR="0061031C" w:rsidRPr="0015371C">
        <w:rPr>
          <w:rFonts w:ascii="Tahoma" w:eastAsiaTheme="minorEastAsia" w:hAnsi="Tahoma" w:cs="Tahoma"/>
          <w:bCs/>
          <w:sz w:val="26"/>
          <w:szCs w:val="26"/>
          <w:lang w:val="ro-RO"/>
        </w:rPr>
        <w:t xml:space="preserve"> </w:t>
      </w:r>
      <w:r w:rsidRPr="0015371C">
        <w:rPr>
          <w:rFonts w:ascii="Tahoma" w:eastAsiaTheme="minorEastAsia" w:hAnsi="Tahoma" w:cs="Tahoma"/>
          <w:bCs/>
          <w:sz w:val="26"/>
          <w:szCs w:val="26"/>
          <w:lang w:val="ro-RO"/>
        </w:rPr>
        <w:t xml:space="preserve">pentru calcularea Indicelui prețului de consum general era cuprinsă </w:t>
      </w:r>
      <w:r w:rsidRPr="0015371C">
        <w:rPr>
          <w:rFonts w:ascii="Tahoma" w:eastAsiaTheme="minorEastAsia" w:hAnsi="Tahoma" w:cs="Tahoma"/>
          <w:bCs/>
          <w:sz w:val="26"/>
          <w:szCs w:val="26"/>
          <w:u w:val="single"/>
          <w:lang w:val="ro-RO"/>
        </w:rPr>
        <w:t>între data ultimei aprobări de tarife</w:t>
      </w:r>
      <w:r w:rsidRPr="0015371C">
        <w:rPr>
          <w:rFonts w:ascii="Tahoma" w:eastAsiaTheme="minorEastAsia" w:hAnsi="Tahoma" w:cs="Tahoma"/>
          <w:bCs/>
          <w:sz w:val="26"/>
          <w:szCs w:val="26"/>
          <w:lang w:val="ro-RO"/>
        </w:rPr>
        <w:t xml:space="preserve"> și data noii solicitări de ajustare a acestora.</w:t>
      </w:r>
    </w:p>
    <w:p w:rsidR="00B50256" w:rsidRPr="0015371C" w:rsidRDefault="00B50256"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sz w:val="26"/>
          <w:szCs w:val="26"/>
          <w:lang w:val="ro-RO"/>
        </w:rPr>
        <w:tab/>
        <w:t xml:space="preserve">În prezent, perioada de referință este cuprinsă între </w:t>
      </w:r>
      <w:r w:rsidRPr="0015371C">
        <w:rPr>
          <w:rFonts w:ascii="Tahoma" w:eastAsiaTheme="minorEastAsia" w:hAnsi="Tahoma" w:cs="Tahoma"/>
          <w:bCs/>
          <w:sz w:val="26"/>
          <w:szCs w:val="26"/>
          <w:u w:val="single"/>
          <w:lang w:val="ro-RO"/>
        </w:rPr>
        <w:t>data ultimei solicitări de modificare a tarifelor</w:t>
      </w:r>
      <w:r w:rsidR="0048411C">
        <w:rPr>
          <w:rFonts w:ascii="Tahoma" w:eastAsiaTheme="minorEastAsia" w:hAnsi="Tahoma" w:cs="Tahoma"/>
          <w:bCs/>
          <w:sz w:val="26"/>
          <w:szCs w:val="26"/>
          <w:lang w:val="ro-RO"/>
        </w:rPr>
        <w:t xml:space="preserve">, aprobate anterior </w:t>
      </w:r>
      <w:r w:rsidRPr="0015371C">
        <w:rPr>
          <w:rFonts w:ascii="Tahoma" w:eastAsiaTheme="minorEastAsia" w:hAnsi="Tahoma" w:cs="Tahoma"/>
          <w:bCs/>
          <w:sz w:val="26"/>
          <w:szCs w:val="26"/>
          <w:lang w:val="ro-RO"/>
        </w:rPr>
        <w:t xml:space="preserve">și data noii solictări de ajustare a tarifelor. </w:t>
      </w:r>
    </w:p>
    <w:p w:rsidR="00B50256" w:rsidRPr="0015371C" w:rsidRDefault="00B50256"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sz w:val="26"/>
          <w:szCs w:val="26"/>
          <w:lang w:val="ro-RO"/>
        </w:rPr>
        <w:tab/>
        <w:t xml:space="preserve">În acest context, la solicitarea de ajustare depusă în luna iulie, parametrul de ajustare a fost calculat pentru perioada noiembrie 2023- mai 2025, respectiv 19 luni și </w:t>
      </w:r>
      <w:r w:rsidRPr="0015371C">
        <w:rPr>
          <w:rFonts w:ascii="Tahoma" w:eastAsiaTheme="minorEastAsia" w:hAnsi="Tahoma" w:cs="Tahoma"/>
          <w:bCs/>
          <w:sz w:val="26"/>
          <w:szCs w:val="26"/>
          <w:lang w:val="ro-RO"/>
        </w:rPr>
        <w:lastRenderedPageBreak/>
        <w:t xml:space="preserve">a fost de 8,2%, iar în prezent conform normelor, parametrul se calculează pentru perioada </w:t>
      </w:r>
      <w:r w:rsidRPr="0015371C">
        <w:rPr>
          <w:rFonts w:ascii="Tahoma" w:eastAsiaTheme="minorEastAsia" w:hAnsi="Tahoma" w:cs="Tahoma"/>
          <w:b/>
          <w:bCs/>
          <w:sz w:val="26"/>
          <w:szCs w:val="26"/>
          <w:lang w:val="ro-RO"/>
        </w:rPr>
        <w:t>iunie 2023- august 2025, respectiv 27 luni și este de 16,25%, conform comunicării INS.</w:t>
      </w:r>
    </w:p>
    <w:p w:rsidR="00B50256" w:rsidRPr="0015371C" w:rsidRDefault="00FE3890" w:rsidP="0048411C">
      <w:pPr>
        <w:tabs>
          <w:tab w:val="left" w:pos="720"/>
        </w:tabs>
        <w:spacing w:after="0"/>
        <w:jc w:val="both"/>
        <w:rPr>
          <w:rFonts w:ascii="Tahoma" w:eastAsiaTheme="minorEastAsia" w:hAnsi="Tahoma" w:cs="Tahoma"/>
          <w:bCs/>
          <w:sz w:val="26"/>
          <w:szCs w:val="26"/>
          <w:lang w:val="ro-RO"/>
        </w:rPr>
      </w:pPr>
      <w:r w:rsidRPr="0015371C">
        <w:rPr>
          <w:rFonts w:ascii="Tahoma" w:eastAsiaTheme="minorEastAsia" w:hAnsi="Tahoma" w:cs="Tahoma"/>
          <w:bCs/>
          <w:sz w:val="26"/>
          <w:szCs w:val="26"/>
          <w:lang w:val="ro-RO"/>
        </w:rPr>
        <w:tab/>
      </w:r>
      <w:r w:rsidR="00B50256" w:rsidRPr="0015371C">
        <w:rPr>
          <w:rFonts w:ascii="Tahoma" w:eastAsiaTheme="minorEastAsia" w:hAnsi="Tahoma" w:cs="Tahoma"/>
          <w:bCs/>
          <w:sz w:val="26"/>
          <w:szCs w:val="26"/>
          <w:lang w:val="ro-RO"/>
        </w:rPr>
        <w:t>În conformitate cu prevederile legale, rămâne în vigoare obligația Consiliilor</w:t>
      </w:r>
      <w:r w:rsidR="0061031C" w:rsidRPr="0015371C">
        <w:rPr>
          <w:rFonts w:ascii="Tahoma" w:eastAsiaTheme="minorEastAsia" w:hAnsi="Tahoma" w:cs="Tahoma"/>
          <w:bCs/>
          <w:sz w:val="26"/>
          <w:szCs w:val="26"/>
          <w:lang w:val="ro-RO"/>
        </w:rPr>
        <w:t xml:space="preserve"> L</w:t>
      </w:r>
      <w:r w:rsidR="00B50256" w:rsidRPr="0015371C">
        <w:rPr>
          <w:rFonts w:ascii="Tahoma" w:eastAsiaTheme="minorEastAsia" w:hAnsi="Tahoma" w:cs="Tahoma"/>
          <w:bCs/>
          <w:sz w:val="26"/>
          <w:szCs w:val="26"/>
          <w:lang w:val="ro-RO"/>
        </w:rPr>
        <w:t xml:space="preserve">ocale de  a se pronunța asupra hotărârilor de </w:t>
      </w:r>
      <w:r w:rsidR="00B50256" w:rsidRPr="0015371C">
        <w:rPr>
          <w:rFonts w:ascii="Tahoma" w:eastAsiaTheme="minorEastAsia" w:hAnsi="Tahoma" w:cs="Tahoma"/>
          <w:b/>
          <w:bCs/>
          <w:sz w:val="26"/>
          <w:szCs w:val="26"/>
          <w:lang w:val="ro-RO"/>
        </w:rPr>
        <w:t>acordare a mandatelor speciale în termen de 30 de zile de la data primirii solicitării</w:t>
      </w:r>
      <w:r w:rsidR="00B50256" w:rsidRPr="0015371C">
        <w:rPr>
          <w:rFonts w:ascii="Tahoma" w:eastAsiaTheme="minorEastAsia" w:hAnsi="Tahoma" w:cs="Tahoma"/>
          <w:bCs/>
          <w:sz w:val="26"/>
          <w:szCs w:val="26"/>
          <w:lang w:val="ro-RO"/>
        </w:rPr>
        <w:t>, existând fixat termenul maxim de 30 noiembrie pentru aprobarea în AGA a solicitării de ajustare și a tarifelor de gestio</w:t>
      </w:r>
      <w:r w:rsidRPr="0015371C">
        <w:rPr>
          <w:rFonts w:ascii="Tahoma" w:eastAsiaTheme="minorEastAsia" w:hAnsi="Tahoma" w:cs="Tahoma"/>
          <w:bCs/>
          <w:sz w:val="26"/>
          <w:szCs w:val="26"/>
          <w:lang w:val="ro-RO"/>
        </w:rPr>
        <w:t>nare pe fluxul deșeurilor, co</w:t>
      </w:r>
      <w:r w:rsidR="00B50256" w:rsidRPr="0015371C">
        <w:rPr>
          <w:rFonts w:ascii="Tahoma" w:eastAsiaTheme="minorEastAsia" w:hAnsi="Tahoma" w:cs="Tahoma"/>
          <w:bCs/>
          <w:sz w:val="26"/>
          <w:szCs w:val="26"/>
          <w:lang w:val="ro-RO"/>
        </w:rPr>
        <w:t xml:space="preserve">nform art. 63 din Ordinul ANRSC 640/2022 cu modificările ulterioare. </w:t>
      </w:r>
    </w:p>
    <w:p w:rsidR="00884AA6" w:rsidRPr="0015371C" w:rsidRDefault="00FE3890" w:rsidP="0048411C">
      <w:pPr>
        <w:tabs>
          <w:tab w:val="left" w:pos="720"/>
        </w:tabs>
        <w:spacing w:after="0"/>
        <w:jc w:val="both"/>
        <w:rPr>
          <w:rFonts w:ascii="Tahoma" w:eastAsiaTheme="minorEastAsia" w:hAnsi="Tahoma" w:cs="Tahoma"/>
          <w:bCs/>
          <w:sz w:val="26"/>
          <w:szCs w:val="26"/>
          <w:u w:val="single"/>
          <w:lang w:val="ro-RO"/>
        </w:rPr>
      </w:pPr>
      <w:r w:rsidRPr="0015371C">
        <w:rPr>
          <w:rFonts w:ascii="Tahoma" w:eastAsiaTheme="minorEastAsia" w:hAnsi="Tahoma" w:cs="Tahoma"/>
          <w:bCs/>
          <w:sz w:val="26"/>
          <w:szCs w:val="26"/>
          <w:lang w:val="ro-RO"/>
        </w:rPr>
        <w:tab/>
        <w:t xml:space="preserve">Toate aspectele legale și procedurale cu privire la solicitarea operatorului de ajustare a tarifelor sunt prezentate în </w:t>
      </w:r>
      <w:r w:rsidRPr="0015371C">
        <w:rPr>
          <w:rFonts w:ascii="Tahoma" w:eastAsiaTheme="minorEastAsia" w:hAnsi="Tahoma" w:cs="Tahoma"/>
          <w:bCs/>
          <w:sz w:val="26"/>
          <w:szCs w:val="26"/>
          <w:u w:val="single"/>
          <w:lang w:val="ro-RO"/>
        </w:rPr>
        <w:t xml:space="preserve">Nota de fundamentare nr. 21/13.10.2023 și în Raportul de specialitate cu privire la analiza solicitării </w:t>
      </w:r>
      <w:r w:rsidR="0061031C" w:rsidRPr="0015371C">
        <w:rPr>
          <w:rFonts w:ascii="Tahoma" w:eastAsiaTheme="minorEastAsia" w:hAnsi="Tahoma" w:cs="Tahoma"/>
          <w:bCs/>
          <w:sz w:val="26"/>
          <w:szCs w:val="26"/>
          <w:u w:val="single"/>
          <w:lang w:val="ro-RO"/>
        </w:rPr>
        <w:t>de ajustare a tarifelor.</w:t>
      </w:r>
      <w:r w:rsidR="00884AA6" w:rsidRPr="0015371C">
        <w:rPr>
          <w:rFonts w:ascii="Tahoma" w:hAnsi="Tahoma" w:cs="Tahoma"/>
          <w:b/>
          <w:sz w:val="26"/>
          <w:szCs w:val="26"/>
          <w:lang w:val="ro-RO"/>
        </w:rPr>
        <w:t xml:space="preserve"> </w:t>
      </w:r>
    </w:p>
    <w:p w:rsidR="00884AA6" w:rsidRPr="0015371C" w:rsidRDefault="0061031C" w:rsidP="0048411C">
      <w:pPr>
        <w:jc w:val="both"/>
        <w:rPr>
          <w:rFonts w:ascii="Tahoma" w:eastAsiaTheme="minorHAnsi" w:hAnsi="Tahoma" w:cs="Tahoma"/>
          <w:sz w:val="26"/>
          <w:szCs w:val="26"/>
        </w:rPr>
      </w:pPr>
      <w:r w:rsidRPr="0015371C">
        <w:rPr>
          <w:rFonts w:ascii="Tahoma" w:eastAsiaTheme="minorHAnsi" w:hAnsi="Tahoma" w:cs="Tahoma"/>
          <w:sz w:val="26"/>
          <w:szCs w:val="26"/>
        </w:rPr>
        <w:tab/>
      </w:r>
      <w:proofErr w:type="spellStart"/>
      <w:r w:rsidR="00884AA6" w:rsidRPr="0015371C">
        <w:rPr>
          <w:rFonts w:ascii="Tahoma" w:eastAsiaTheme="minorHAnsi" w:hAnsi="Tahoma" w:cs="Tahoma"/>
          <w:sz w:val="26"/>
          <w:szCs w:val="26"/>
        </w:rPr>
        <w:t>Prin</w:t>
      </w:r>
      <w:proofErr w:type="spellEnd"/>
      <w:r w:rsidR="00884AA6" w:rsidRPr="0015371C">
        <w:rPr>
          <w:rFonts w:ascii="Tahoma" w:eastAsiaTheme="minorHAnsi" w:hAnsi="Tahoma" w:cs="Tahoma"/>
          <w:sz w:val="26"/>
          <w:szCs w:val="26"/>
        </w:rPr>
        <w:t xml:space="preserve"> </w:t>
      </w:r>
      <w:proofErr w:type="spellStart"/>
      <w:r w:rsidR="00884AA6" w:rsidRPr="0015371C">
        <w:rPr>
          <w:rFonts w:ascii="Tahoma" w:eastAsiaTheme="minorHAnsi" w:hAnsi="Tahoma" w:cs="Tahoma"/>
          <w:sz w:val="26"/>
          <w:szCs w:val="26"/>
        </w:rPr>
        <w:t>urmare</w:t>
      </w:r>
      <w:proofErr w:type="spellEnd"/>
      <w:r w:rsidR="00884AA6" w:rsidRPr="0015371C">
        <w:rPr>
          <w:rFonts w:ascii="Tahoma" w:eastAsiaTheme="minorHAnsi" w:hAnsi="Tahoma" w:cs="Tahoma"/>
          <w:sz w:val="26"/>
          <w:szCs w:val="26"/>
        </w:rPr>
        <w:t xml:space="preserve">, </w:t>
      </w:r>
      <w:proofErr w:type="spellStart"/>
      <w:proofErr w:type="gramStart"/>
      <w:r w:rsidR="00884AA6" w:rsidRPr="0015371C">
        <w:rPr>
          <w:rFonts w:ascii="Tahoma" w:eastAsiaTheme="minorHAnsi" w:hAnsi="Tahoma" w:cs="Tahoma"/>
          <w:b/>
          <w:sz w:val="26"/>
          <w:szCs w:val="26"/>
        </w:rPr>
        <w:t>vă</w:t>
      </w:r>
      <w:proofErr w:type="spellEnd"/>
      <w:proofErr w:type="gram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înaintăm</w:t>
      </w:r>
      <w:proofErr w:type="spellEnd"/>
      <w:r w:rsidR="00884AA6" w:rsidRPr="0015371C">
        <w:rPr>
          <w:rFonts w:ascii="Tahoma" w:eastAsiaTheme="minorHAnsi" w:hAnsi="Tahoma" w:cs="Tahoma"/>
          <w:sz w:val="26"/>
          <w:szCs w:val="26"/>
        </w:rPr>
        <w:t xml:space="preserve"> </w:t>
      </w:r>
      <w:proofErr w:type="spellStart"/>
      <w:r w:rsidR="00884AA6" w:rsidRPr="0015371C">
        <w:rPr>
          <w:rFonts w:ascii="Tahoma" w:eastAsiaTheme="minorHAnsi" w:hAnsi="Tahoma" w:cs="Tahoma"/>
          <w:sz w:val="26"/>
          <w:szCs w:val="26"/>
        </w:rPr>
        <w:t>următoarele</w:t>
      </w:r>
      <w:proofErr w:type="spellEnd"/>
      <w:r w:rsidR="00884AA6" w:rsidRPr="0015371C">
        <w:rPr>
          <w:rFonts w:ascii="Tahoma" w:eastAsiaTheme="minorHAnsi" w:hAnsi="Tahoma" w:cs="Tahoma"/>
          <w:sz w:val="26"/>
          <w:szCs w:val="26"/>
        </w:rPr>
        <w:t xml:space="preserve"> </w:t>
      </w:r>
      <w:proofErr w:type="spellStart"/>
      <w:r w:rsidR="00884AA6" w:rsidRPr="0015371C">
        <w:rPr>
          <w:rFonts w:ascii="Tahoma" w:eastAsiaTheme="minorHAnsi" w:hAnsi="Tahoma" w:cs="Tahoma"/>
          <w:sz w:val="26"/>
          <w:szCs w:val="26"/>
        </w:rPr>
        <w:t>documente</w:t>
      </w:r>
      <w:proofErr w:type="spellEnd"/>
      <w:r w:rsidRPr="0015371C">
        <w:rPr>
          <w:rFonts w:ascii="Tahoma" w:eastAsiaTheme="minorHAnsi" w:hAnsi="Tahoma" w:cs="Tahoma"/>
          <w:sz w:val="26"/>
          <w:szCs w:val="26"/>
        </w:rPr>
        <w:t>,</w:t>
      </w:r>
      <w:r w:rsidR="00884AA6" w:rsidRPr="0015371C">
        <w:rPr>
          <w:rFonts w:ascii="Tahoma" w:eastAsiaTheme="minorHAnsi" w:hAnsi="Tahoma" w:cs="Tahoma"/>
          <w:sz w:val="26"/>
          <w:szCs w:val="26"/>
        </w:rPr>
        <w:t xml:space="preserve"> cu </w:t>
      </w:r>
      <w:proofErr w:type="spellStart"/>
      <w:r w:rsidR="00884AA6" w:rsidRPr="0015371C">
        <w:rPr>
          <w:rFonts w:ascii="Tahoma" w:eastAsiaTheme="minorHAnsi" w:hAnsi="Tahoma" w:cs="Tahoma"/>
          <w:sz w:val="26"/>
          <w:szCs w:val="26"/>
        </w:rPr>
        <w:t>rugămintea</w:t>
      </w:r>
      <w:proofErr w:type="spellEnd"/>
      <w:r w:rsidR="00884AA6" w:rsidRPr="0015371C">
        <w:rPr>
          <w:rFonts w:ascii="Tahoma" w:eastAsiaTheme="minorHAnsi" w:hAnsi="Tahoma" w:cs="Tahoma"/>
          <w:sz w:val="26"/>
          <w:szCs w:val="26"/>
        </w:rPr>
        <w:t xml:space="preserve"> </w:t>
      </w:r>
      <w:r w:rsidR="00884AA6" w:rsidRPr="0015371C">
        <w:rPr>
          <w:rFonts w:ascii="Tahoma" w:eastAsiaTheme="minorHAnsi" w:hAnsi="Tahoma" w:cs="Tahoma"/>
          <w:b/>
          <w:sz w:val="26"/>
          <w:szCs w:val="26"/>
        </w:rPr>
        <w:t xml:space="preserve">de </w:t>
      </w:r>
      <w:proofErr w:type="spellStart"/>
      <w:r w:rsidR="00884AA6" w:rsidRPr="0015371C">
        <w:rPr>
          <w:rFonts w:ascii="Tahoma" w:eastAsiaTheme="minorHAnsi" w:hAnsi="Tahoma" w:cs="Tahoma"/>
          <w:b/>
          <w:sz w:val="26"/>
          <w:szCs w:val="26"/>
        </w:rPr>
        <w:t>a le</w:t>
      </w:r>
      <w:proofErr w:type="spellEnd"/>
      <w:r w:rsidR="00884AA6" w:rsidRPr="0015371C">
        <w:rPr>
          <w:rFonts w:ascii="Tahoma" w:eastAsiaTheme="minorHAnsi" w:hAnsi="Tahoma" w:cs="Tahoma"/>
          <w:b/>
          <w:sz w:val="26"/>
          <w:szCs w:val="26"/>
        </w:rPr>
        <w:t xml:space="preserve"> introduce </w:t>
      </w:r>
      <w:proofErr w:type="spellStart"/>
      <w:r w:rsidR="00884AA6" w:rsidRPr="0015371C">
        <w:rPr>
          <w:rFonts w:ascii="Tahoma" w:eastAsiaTheme="minorHAnsi" w:hAnsi="Tahoma" w:cs="Tahoma"/>
          <w:b/>
          <w:sz w:val="26"/>
          <w:szCs w:val="26"/>
        </w:rPr>
        <w:t>pe</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ordinea</w:t>
      </w:r>
      <w:proofErr w:type="spellEnd"/>
      <w:r w:rsidR="00884AA6" w:rsidRPr="0015371C">
        <w:rPr>
          <w:rFonts w:ascii="Tahoma" w:eastAsiaTheme="minorHAnsi" w:hAnsi="Tahoma" w:cs="Tahoma"/>
          <w:b/>
          <w:sz w:val="26"/>
          <w:szCs w:val="26"/>
        </w:rPr>
        <w:t xml:space="preserve"> de </w:t>
      </w:r>
      <w:proofErr w:type="spellStart"/>
      <w:r w:rsidR="00884AA6" w:rsidRPr="0015371C">
        <w:rPr>
          <w:rFonts w:ascii="Tahoma" w:eastAsiaTheme="minorHAnsi" w:hAnsi="Tahoma" w:cs="Tahoma"/>
          <w:b/>
          <w:sz w:val="26"/>
          <w:szCs w:val="26"/>
        </w:rPr>
        <w:t>zi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în</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proxima</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ședință</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în</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vederea</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aprobării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și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acordării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mandatului</w:t>
      </w:r>
      <w:proofErr w:type="spellEnd"/>
      <w:r w:rsidR="00884AA6" w:rsidRPr="0015371C">
        <w:rPr>
          <w:rFonts w:ascii="Tahoma" w:eastAsiaTheme="minorHAnsi" w:hAnsi="Tahoma" w:cs="Tahoma"/>
          <w:b/>
          <w:sz w:val="26"/>
          <w:szCs w:val="26"/>
        </w:rPr>
        <w:t xml:space="preserve"> special </w:t>
      </w:r>
      <w:proofErr w:type="spellStart"/>
      <w:r w:rsidR="00884AA6" w:rsidRPr="0015371C">
        <w:rPr>
          <w:rFonts w:ascii="Tahoma" w:eastAsiaTheme="minorHAnsi" w:hAnsi="Tahoma" w:cs="Tahoma"/>
          <w:b/>
          <w:sz w:val="26"/>
          <w:szCs w:val="26"/>
        </w:rPr>
        <w:t>reprezentantului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în</w:t>
      </w:r>
      <w:proofErr w:type="spellEnd"/>
      <w:r w:rsidR="00884AA6" w:rsidRPr="0015371C">
        <w:rPr>
          <w:rFonts w:ascii="Tahoma" w:eastAsiaTheme="minorHAnsi" w:hAnsi="Tahoma" w:cs="Tahoma"/>
          <w:b/>
          <w:sz w:val="26"/>
          <w:szCs w:val="26"/>
        </w:rPr>
        <w:t xml:space="preserve"> AGA ADI </w:t>
      </w:r>
      <w:proofErr w:type="spellStart"/>
      <w:r w:rsidR="00884AA6" w:rsidRPr="0015371C">
        <w:rPr>
          <w:rFonts w:ascii="Tahoma" w:eastAsiaTheme="minorHAnsi" w:hAnsi="Tahoma" w:cs="Tahoma"/>
          <w:b/>
          <w:sz w:val="26"/>
          <w:szCs w:val="26"/>
        </w:rPr>
        <w:t>Deșeuri</w:t>
      </w:r>
      <w:proofErr w:type="spellEnd"/>
      <w:r w:rsidR="00884AA6" w:rsidRPr="0015371C">
        <w:rPr>
          <w:rFonts w:ascii="Tahoma" w:eastAsiaTheme="minorHAnsi" w:hAnsi="Tahoma" w:cs="Tahoma"/>
          <w:b/>
          <w:sz w:val="26"/>
          <w:szCs w:val="26"/>
        </w:rPr>
        <w:t xml:space="preserve"> </w:t>
      </w:r>
      <w:proofErr w:type="spellStart"/>
      <w:r w:rsidR="00884AA6" w:rsidRPr="0015371C">
        <w:rPr>
          <w:rFonts w:ascii="Tahoma" w:eastAsiaTheme="minorHAnsi" w:hAnsi="Tahoma" w:cs="Tahoma"/>
          <w:b/>
          <w:sz w:val="26"/>
          <w:szCs w:val="26"/>
        </w:rPr>
        <w:t>Bistrița-Năsăud</w:t>
      </w:r>
      <w:proofErr w:type="spellEnd"/>
      <w:r w:rsidR="0015371C" w:rsidRPr="0015371C">
        <w:rPr>
          <w:rFonts w:ascii="Tahoma" w:eastAsiaTheme="minorHAnsi" w:hAnsi="Tahoma" w:cs="Tahoma"/>
          <w:b/>
          <w:sz w:val="26"/>
          <w:szCs w:val="26"/>
        </w:rPr>
        <w:t xml:space="preserve">, </w:t>
      </w:r>
      <w:proofErr w:type="spellStart"/>
      <w:r w:rsidR="0015371C" w:rsidRPr="0015371C">
        <w:rPr>
          <w:rFonts w:ascii="Tahoma" w:eastAsiaTheme="minorHAnsi" w:hAnsi="Tahoma" w:cs="Tahoma"/>
          <w:b/>
          <w:sz w:val="26"/>
          <w:szCs w:val="26"/>
        </w:rPr>
        <w:t>în</w:t>
      </w:r>
      <w:proofErr w:type="spellEnd"/>
      <w:r w:rsidR="0015371C" w:rsidRPr="0015371C">
        <w:rPr>
          <w:rFonts w:ascii="Tahoma" w:eastAsiaTheme="minorHAnsi" w:hAnsi="Tahoma" w:cs="Tahoma"/>
          <w:b/>
          <w:sz w:val="26"/>
          <w:szCs w:val="26"/>
        </w:rPr>
        <w:t xml:space="preserve"> </w:t>
      </w:r>
      <w:proofErr w:type="spellStart"/>
      <w:r w:rsidR="0015371C" w:rsidRPr="0015371C">
        <w:rPr>
          <w:rFonts w:ascii="Tahoma" w:eastAsiaTheme="minorHAnsi" w:hAnsi="Tahoma" w:cs="Tahoma"/>
          <w:b/>
          <w:sz w:val="26"/>
          <w:szCs w:val="26"/>
        </w:rPr>
        <w:t>termenul</w:t>
      </w:r>
      <w:proofErr w:type="spellEnd"/>
      <w:r w:rsidR="0015371C" w:rsidRPr="0015371C">
        <w:rPr>
          <w:rFonts w:ascii="Tahoma" w:eastAsiaTheme="minorHAnsi" w:hAnsi="Tahoma" w:cs="Tahoma"/>
          <w:b/>
          <w:sz w:val="26"/>
          <w:szCs w:val="26"/>
        </w:rPr>
        <w:t xml:space="preserve"> legal</w:t>
      </w:r>
      <w:r w:rsidR="00884AA6" w:rsidRPr="0015371C">
        <w:rPr>
          <w:rFonts w:ascii="Tahoma" w:eastAsiaTheme="minorHAnsi" w:hAnsi="Tahoma" w:cs="Tahoma"/>
          <w:b/>
          <w:sz w:val="26"/>
          <w:szCs w:val="26"/>
        </w:rPr>
        <w:t>:</w:t>
      </w:r>
    </w:p>
    <w:p w:rsidR="00884AA6" w:rsidRPr="0015371C" w:rsidRDefault="00884AA6" w:rsidP="0048411C">
      <w:pPr>
        <w:pStyle w:val="ListParagraph"/>
        <w:widowControl w:val="0"/>
        <w:numPr>
          <w:ilvl w:val="0"/>
          <w:numId w:val="39"/>
        </w:numPr>
        <w:spacing w:after="0"/>
        <w:jc w:val="both"/>
        <w:rPr>
          <w:rFonts w:ascii="Tahoma" w:eastAsia="Times New Roman" w:hAnsi="Tahoma" w:cs="Tahoma"/>
          <w:spacing w:val="5"/>
          <w:sz w:val="26"/>
          <w:szCs w:val="26"/>
          <w:lang w:val="ro-RO" w:eastAsia="ro-RO"/>
        </w:rPr>
      </w:pPr>
      <w:r w:rsidRPr="0015371C">
        <w:rPr>
          <w:rFonts w:ascii="Tahoma" w:eastAsia="Times New Roman" w:hAnsi="Tahoma" w:cs="Tahoma"/>
          <w:spacing w:val="5"/>
          <w:sz w:val="26"/>
          <w:szCs w:val="26"/>
          <w:lang w:val="ro-RO" w:eastAsia="ro-RO"/>
        </w:rPr>
        <w:t xml:space="preserve">Modelul de proiect de hotărâre cu privire la </w:t>
      </w:r>
      <w:r w:rsidRPr="0015371C">
        <w:rPr>
          <w:rFonts w:ascii="Tahoma" w:eastAsia="Times New Roman" w:hAnsi="Tahoma" w:cs="Tahoma"/>
          <w:b/>
          <w:spacing w:val="5"/>
          <w:sz w:val="26"/>
          <w:szCs w:val="26"/>
          <w:lang w:val="ro-RO" w:eastAsia="ro-RO"/>
        </w:rPr>
        <w:t>solicitarea Operatorului SC Supercom SA de ajustare a tarifelor practicate în baza Contractului de concesiune nr. 1277/2018.</w:t>
      </w:r>
      <w:r w:rsidR="0061031C" w:rsidRPr="0015371C">
        <w:rPr>
          <w:rFonts w:ascii="Tahoma" w:eastAsia="Times New Roman" w:hAnsi="Tahoma" w:cs="Tahoma"/>
          <w:b/>
          <w:spacing w:val="5"/>
          <w:sz w:val="26"/>
          <w:szCs w:val="26"/>
          <w:lang w:val="ro-RO" w:eastAsia="ro-RO"/>
        </w:rPr>
        <w:t xml:space="preserve"> </w:t>
      </w:r>
      <w:r w:rsidR="0061031C" w:rsidRPr="0015371C">
        <w:rPr>
          <w:rFonts w:ascii="Tahoma" w:eastAsia="Times New Roman" w:hAnsi="Tahoma" w:cs="Tahoma"/>
          <w:spacing w:val="5"/>
          <w:sz w:val="26"/>
          <w:szCs w:val="26"/>
          <w:lang w:val="ro-RO" w:eastAsia="ro-RO"/>
        </w:rPr>
        <w:t xml:space="preserve">Cu privire la acest aspect, vă anexăm </w:t>
      </w:r>
      <w:r w:rsidR="0061031C" w:rsidRPr="0015371C">
        <w:rPr>
          <w:rFonts w:ascii="Tahoma" w:eastAsia="Times New Roman" w:hAnsi="Tahoma" w:cs="Tahoma"/>
          <w:spacing w:val="5"/>
          <w:sz w:val="26"/>
          <w:szCs w:val="26"/>
          <w:u w:val="single"/>
          <w:lang w:val="ro-RO" w:eastAsia="ro-RO"/>
        </w:rPr>
        <w:t>două modele de proiecte</w:t>
      </w:r>
      <w:r w:rsidR="0061031C" w:rsidRPr="0015371C">
        <w:rPr>
          <w:rFonts w:ascii="Tahoma" w:eastAsia="Times New Roman" w:hAnsi="Tahoma" w:cs="Tahoma"/>
          <w:spacing w:val="5"/>
          <w:sz w:val="26"/>
          <w:szCs w:val="26"/>
          <w:lang w:val="ro-RO" w:eastAsia="ro-RO"/>
        </w:rPr>
        <w:t xml:space="preserve">- de </w:t>
      </w:r>
      <w:r w:rsidR="0061031C" w:rsidRPr="0015371C">
        <w:rPr>
          <w:rFonts w:ascii="Tahoma" w:eastAsia="Times New Roman" w:hAnsi="Tahoma" w:cs="Tahoma"/>
          <w:b/>
          <w:spacing w:val="5"/>
          <w:sz w:val="26"/>
          <w:szCs w:val="26"/>
          <w:lang w:val="ro-RO" w:eastAsia="ro-RO"/>
        </w:rPr>
        <w:t>APROBARE SAU</w:t>
      </w:r>
      <w:r w:rsidR="0061031C" w:rsidRPr="0015371C">
        <w:rPr>
          <w:rFonts w:ascii="Tahoma" w:eastAsia="Times New Roman" w:hAnsi="Tahoma" w:cs="Tahoma"/>
          <w:spacing w:val="5"/>
          <w:sz w:val="26"/>
          <w:szCs w:val="26"/>
          <w:lang w:val="ro-RO" w:eastAsia="ro-RO"/>
        </w:rPr>
        <w:t xml:space="preserve"> de </w:t>
      </w:r>
      <w:r w:rsidR="0061031C" w:rsidRPr="0015371C">
        <w:rPr>
          <w:rFonts w:ascii="Tahoma" w:eastAsia="Times New Roman" w:hAnsi="Tahoma" w:cs="Tahoma"/>
          <w:b/>
          <w:spacing w:val="5"/>
          <w:sz w:val="26"/>
          <w:szCs w:val="26"/>
          <w:lang w:val="ro-RO" w:eastAsia="ro-RO"/>
        </w:rPr>
        <w:t xml:space="preserve">REFUZ JUSTIFICAT, </w:t>
      </w:r>
      <w:r w:rsidR="0061031C" w:rsidRPr="0015371C">
        <w:rPr>
          <w:rFonts w:ascii="Tahoma" w:eastAsia="Times New Roman" w:hAnsi="Tahoma" w:cs="Tahoma"/>
          <w:spacing w:val="5"/>
          <w:sz w:val="26"/>
          <w:szCs w:val="26"/>
          <w:lang w:val="ro-RO" w:eastAsia="ro-RO"/>
        </w:rPr>
        <w:t>care vor fi adoptate în funcție de decizia Consiliului Local.</w:t>
      </w:r>
    </w:p>
    <w:p w:rsidR="00884AA6" w:rsidRPr="0015371C" w:rsidRDefault="0061031C" w:rsidP="0048411C">
      <w:pPr>
        <w:pStyle w:val="ListParagraph"/>
        <w:widowControl w:val="0"/>
        <w:numPr>
          <w:ilvl w:val="1"/>
          <w:numId w:val="39"/>
        </w:numPr>
        <w:spacing w:after="0"/>
        <w:jc w:val="both"/>
        <w:rPr>
          <w:rFonts w:ascii="Tahoma" w:eastAsia="Times New Roman" w:hAnsi="Tahoma" w:cs="Tahoma"/>
          <w:spacing w:val="5"/>
          <w:sz w:val="26"/>
          <w:szCs w:val="26"/>
          <w:lang w:val="ro-RO" w:eastAsia="ro-RO"/>
        </w:rPr>
      </w:pPr>
      <w:r w:rsidRPr="0015371C">
        <w:rPr>
          <w:rFonts w:ascii="Tahoma" w:eastAsia="Times New Roman" w:hAnsi="Tahoma" w:cs="Tahoma"/>
          <w:spacing w:val="5"/>
          <w:sz w:val="26"/>
          <w:szCs w:val="26"/>
          <w:lang w:val="ro-RO" w:eastAsia="ro-RO"/>
        </w:rPr>
        <w:t>Nota de fundamentare nr. 21/13.10</w:t>
      </w:r>
      <w:r w:rsidR="00884AA6" w:rsidRPr="0015371C">
        <w:rPr>
          <w:rFonts w:ascii="Tahoma" w:eastAsia="Times New Roman" w:hAnsi="Tahoma" w:cs="Tahoma"/>
          <w:spacing w:val="5"/>
          <w:sz w:val="26"/>
          <w:szCs w:val="26"/>
          <w:lang w:val="ro-RO" w:eastAsia="ro-RO"/>
        </w:rPr>
        <w:t>.2025 a aparatului tehnic al Asociației cu privire la ajustarea tarifelor.</w:t>
      </w:r>
    </w:p>
    <w:p w:rsidR="0061031C" w:rsidRPr="0015371C" w:rsidRDefault="00AE5F36" w:rsidP="0048411C">
      <w:pPr>
        <w:pStyle w:val="ListParagraph"/>
        <w:widowControl w:val="0"/>
        <w:numPr>
          <w:ilvl w:val="1"/>
          <w:numId w:val="39"/>
        </w:numPr>
        <w:spacing w:after="0"/>
        <w:jc w:val="both"/>
        <w:rPr>
          <w:rFonts w:ascii="Tahoma" w:eastAsia="Times New Roman" w:hAnsi="Tahoma" w:cs="Tahoma"/>
          <w:spacing w:val="5"/>
          <w:sz w:val="26"/>
          <w:szCs w:val="26"/>
          <w:lang w:val="ro-RO" w:eastAsia="ro-RO"/>
        </w:rPr>
      </w:pPr>
      <w:r w:rsidRPr="0015371C">
        <w:rPr>
          <w:rFonts w:ascii="Tahoma" w:eastAsia="Times New Roman" w:hAnsi="Tahoma" w:cs="Tahoma"/>
          <w:spacing w:val="5"/>
          <w:sz w:val="26"/>
          <w:szCs w:val="26"/>
          <w:lang w:val="ro-RO" w:eastAsia="ro-RO"/>
        </w:rPr>
        <w:t>Raportul de specialitate nr. 22/13.10.2025 cu privire la analiza solicitării de ajustare a tarifelor practicate de operatorul SC Supercom SA în baza Contractului de concesiune nr. 1277/2018.</w:t>
      </w:r>
    </w:p>
    <w:p w:rsidR="00B67632" w:rsidRPr="0048411C" w:rsidRDefault="00884AA6" w:rsidP="0048411C">
      <w:pPr>
        <w:pStyle w:val="ListParagraph"/>
        <w:widowControl w:val="0"/>
        <w:numPr>
          <w:ilvl w:val="1"/>
          <w:numId w:val="39"/>
        </w:numPr>
        <w:jc w:val="both"/>
        <w:rPr>
          <w:rFonts w:ascii="Tahoma" w:eastAsia="Times New Roman" w:hAnsi="Tahoma" w:cs="Tahoma"/>
          <w:spacing w:val="5"/>
          <w:sz w:val="26"/>
          <w:szCs w:val="26"/>
          <w:lang w:val="ro-RO" w:eastAsia="ro-RO"/>
        </w:rPr>
      </w:pPr>
      <w:r w:rsidRPr="0015371C">
        <w:rPr>
          <w:rFonts w:ascii="Tahoma" w:eastAsia="Times New Roman" w:hAnsi="Tahoma" w:cs="Tahoma"/>
          <w:spacing w:val="5"/>
          <w:sz w:val="26"/>
          <w:szCs w:val="26"/>
          <w:lang w:val="ro-RO" w:eastAsia="ro-RO"/>
        </w:rPr>
        <w:t xml:space="preserve">Solicitarea operatorului de ajustare a tarifelor, însoțită de </w:t>
      </w:r>
      <w:r w:rsidR="00AE5F36" w:rsidRPr="0015371C">
        <w:rPr>
          <w:rFonts w:ascii="Tahoma" w:eastAsia="Times New Roman" w:hAnsi="Tahoma" w:cs="Tahoma"/>
          <w:spacing w:val="5"/>
          <w:sz w:val="26"/>
          <w:szCs w:val="26"/>
          <w:lang w:val="ro-RO" w:eastAsia="ro-RO"/>
        </w:rPr>
        <w:t>fișele de fundamentare, nr. 8829/18.09</w:t>
      </w:r>
      <w:r w:rsidRPr="0015371C">
        <w:rPr>
          <w:rFonts w:ascii="Tahoma" w:eastAsia="Times New Roman" w:hAnsi="Tahoma" w:cs="Tahoma"/>
          <w:spacing w:val="5"/>
          <w:sz w:val="26"/>
          <w:szCs w:val="26"/>
          <w:lang w:val="ro-RO" w:eastAsia="ro-RO"/>
        </w:rPr>
        <w:t>.2025</w:t>
      </w:r>
      <w:r w:rsidR="00AE5F36" w:rsidRPr="0015371C">
        <w:rPr>
          <w:rFonts w:ascii="Tahoma" w:eastAsia="Times New Roman" w:hAnsi="Tahoma" w:cs="Tahoma"/>
          <w:spacing w:val="5"/>
          <w:sz w:val="26"/>
          <w:szCs w:val="26"/>
          <w:lang w:val="ro-RO" w:eastAsia="ro-RO"/>
        </w:rPr>
        <w:t>, înregistrată la sediul Asociației sub nr. 2505/19.09.2025</w:t>
      </w:r>
      <w:r w:rsidRPr="0015371C">
        <w:rPr>
          <w:rFonts w:ascii="Tahoma" w:eastAsia="Times New Roman" w:hAnsi="Tahoma" w:cs="Tahoma"/>
          <w:spacing w:val="5"/>
          <w:sz w:val="26"/>
          <w:szCs w:val="26"/>
          <w:lang w:val="ro-RO" w:eastAsia="ro-RO"/>
        </w:rPr>
        <w:t>;</w:t>
      </w:r>
      <w:r w:rsidR="00B67632" w:rsidRPr="0048411C">
        <w:rPr>
          <w:rFonts w:ascii="Tahoma" w:hAnsi="Tahoma" w:cs="Tahoma"/>
          <w:sz w:val="26"/>
          <w:szCs w:val="26"/>
          <w:lang w:val="ro-RO"/>
        </w:rPr>
        <w:t xml:space="preserve"> </w:t>
      </w:r>
    </w:p>
    <w:p w:rsidR="00AE5F36" w:rsidRPr="0015371C" w:rsidRDefault="00B67632" w:rsidP="0048411C">
      <w:pPr>
        <w:jc w:val="both"/>
        <w:rPr>
          <w:rFonts w:ascii="Tahoma" w:hAnsi="Tahoma" w:cs="Tahoma"/>
          <w:b/>
          <w:sz w:val="26"/>
          <w:szCs w:val="26"/>
          <w:lang w:val="ro-RO"/>
        </w:rPr>
      </w:pPr>
      <w:r w:rsidRPr="0015371C">
        <w:rPr>
          <w:rFonts w:ascii="Tahoma" w:hAnsi="Tahoma" w:cs="Tahoma"/>
          <w:b/>
          <w:sz w:val="26"/>
          <w:szCs w:val="26"/>
          <w:lang w:val="ro-RO"/>
        </w:rPr>
        <w:tab/>
      </w:r>
      <w:r w:rsidR="0015371C" w:rsidRPr="0015371C">
        <w:rPr>
          <w:rFonts w:ascii="Tahoma" w:hAnsi="Tahoma" w:cs="Tahoma"/>
          <w:b/>
          <w:sz w:val="26"/>
          <w:szCs w:val="26"/>
          <w:lang w:val="ro-RO"/>
        </w:rPr>
        <w:t>Prin urmare, ț</w:t>
      </w:r>
      <w:r w:rsidR="00AE5F36" w:rsidRPr="0015371C">
        <w:rPr>
          <w:rFonts w:ascii="Tahoma" w:hAnsi="Tahoma" w:cs="Tahoma"/>
          <w:b/>
          <w:sz w:val="26"/>
          <w:szCs w:val="26"/>
          <w:lang w:val="ro-RO"/>
        </w:rPr>
        <w:t xml:space="preserve">inând cont de faptul că legislația specifică și Ordinele aplicabile impun termene de punere în aplicare, este necesar ca documentele să fie supuse la vot în proxima ședință de Consiliu Local/ Consiliu Județean, în termen de 30 de zile de la data primirii solicitării,  data la care este fixată </w:t>
      </w:r>
      <w:r w:rsidR="00AE5F36" w:rsidRPr="0015371C">
        <w:rPr>
          <w:rFonts w:ascii="Tahoma" w:hAnsi="Tahoma" w:cs="Tahoma"/>
          <w:b/>
          <w:sz w:val="26"/>
          <w:szCs w:val="26"/>
          <w:lang w:val="ro-RO"/>
        </w:rPr>
        <w:lastRenderedPageBreak/>
        <w:t>Ședința AGA ADI Deșeuri Bistrița-Năsăud, pentru aprobarea/refuzarea solicitării în baza mandatelor speciale fiind 27.11.2025.</w:t>
      </w:r>
    </w:p>
    <w:p w:rsidR="00AE5F36" w:rsidRPr="0015371C" w:rsidRDefault="00AE5F36" w:rsidP="0048411C">
      <w:pPr>
        <w:jc w:val="both"/>
        <w:rPr>
          <w:rFonts w:ascii="Tahoma" w:hAnsi="Tahoma" w:cs="Tahoma"/>
          <w:b/>
          <w:sz w:val="26"/>
          <w:szCs w:val="26"/>
          <w:lang w:val="ro-RO"/>
        </w:rPr>
      </w:pPr>
      <w:r w:rsidRPr="0015371C">
        <w:rPr>
          <w:rFonts w:ascii="Tahoma" w:hAnsi="Tahoma" w:cs="Tahoma"/>
          <w:b/>
          <w:sz w:val="26"/>
          <w:szCs w:val="26"/>
          <w:lang w:val="ro-RO"/>
        </w:rPr>
        <w:tab/>
        <w:t>În concluzie, subliniem faptul că aceste documente nu mai trebuie să parcurgă termenele procedurale de consultare publică în conformitate cu prevederile Legii nr. 52/2003 privind transparenţa decizională în administraţia publică, fiind obligatorie supunerea la vot a proiectelor de hotărâre în termen de 30 de zile de la data comunicării acestora, conform art. 45, alin. (11) din Legea nr. 101/2006, republicată</w:t>
      </w:r>
      <w:r w:rsidRPr="0015371C">
        <w:rPr>
          <w:rFonts w:ascii="Tahoma" w:hAnsi="Tahoma" w:cs="Tahoma"/>
          <w:b/>
          <w:sz w:val="26"/>
          <w:szCs w:val="26"/>
          <w:lang w:val="ro-RO"/>
        </w:rPr>
        <w:t xml:space="preserve"> și art. 63, alin. (2) din Ordinul 640/2022 cu modificările și completările ulterioare</w:t>
      </w:r>
      <w:r w:rsidRPr="0015371C">
        <w:rPr>
          <w:rFonts w:ascii="Tahoma" w:hAnsi="Tahoma" w:cs="Tahoma"/>
          <w:b/>
          <w:sz w:val="26"/>
          <w:szCs w:val="26"/>
          <w:lang w:val="ro-RO"/>
        </w:rPr>
        <w:t xml:space="preserve">. </w:t>
      </w:r>
    </w:p>
    <w:p w:rsidR="00B50256" w:rsidRDefault="00B50256" w:rsidP="0048411C">
      <w:pPr>
        <w:tabs>
          <w:tab w:val="left" w:pos="3870"/>
        </w:tabs>
        <w:spacing w:after="0"/>
        <w:jc w:val="both"/>
        <w:rPr>
          <w:rFonts w:ascii="Tahoma" w:hAnsi="Tahoma" w:cs="Tahoma"/>
          <w:b/>
          <w:sz w:val="26"/>
          <w:szCs w:val="26"/>
          <w:lang w:val="ro-RO"/>
        </w:rPr>
      </w:pPr>
    </w:p>
    <w:p w:rsidR="0048411C" w:rsidRPr="0015371C" w:rsidRDefault="0048411C" w:rsidP="0048411C">
      <w:pPr>
        <w:tabs>
          <w:tab w:val="left" w:pos="3870"/>
        </w:tabs>
        <w:spacing w:after="0"/>
        <w:jc w:val="both"/>
        <w:rPr>
          <w:rFonts w:ascii="Tahoma" w:hAnsi="Tahoma" w:cs="Tahoma"/>
          <w:b/>
          <w:sz w:val="26"/>
          <w:szCs w:val="26"/>
          <w:lang w:val="ro-RO"/>
        </w:rPr>
      </w:pPr>
    </w:p>
    <w:p w:rsidR="00E3726E" w:rsidRPr="0015371C" w:rsidRDefault="00FA6BD4" w:rsidP="0048411C">
      <w:pPr>
        <w:tabs>
          <w:tab w:val="left" w:pos="720"/>
        </w:tabs>
        <w:spacing w:after="0"/>
        <w:jc w:val="center"/>
        <w:rPr>
          <w:rFonts w:ascii="Tahoma" w:eastAsiaTheme="minorEastAsia" w:hAnsi="Tahoma" w:cs="Tahoma"/>
          <w:b/>
          <w:sz w:val="26"/>
          <w:szCs w:val="26"/>
          <w:lang w:val="ro-RO"/>
        </w:rPr>
      </w:pPr>
      <w:r w:rsidRPr="0015371C">
        <w:rPr>
          <w:rFonts w:ascii="Tahoma" w:eastAsiaTheme="minorEastAsia" w:hAnsi="Tahoma" w:cs="Tahoma"/>
          <w:b/>
          <w:sz w:val="26"/>
          <w:szCs w:val="26"/>
          <w:lang w:val="ro-RO"/>
        </w:rPr>
        <w:t>Cu stimă,</w:t>
      </w:r>
    </w:p>
    <w:p w:rsidR="00C643B5" w:rsidRPr="0015371C" w:rsidRDefault="00C643B5" w:rsidP="0048411C">
      <w:pPr>
        <w:tabs>
          <w:tab w:val="left" w:pos="720"/>
        </w:tabs>
        <w:spacing w:after="0"/>
        <w:jc w:val="center"/>
        <w:rPr>
          <w:rFonts w:ascii="Tahoma" w:eastAsiaTheme="minorEastAsia" w:hAnsi="Tahoma" w:cs="Tahoma"/>
          <w:b/>
          <w:sz w:val="26"/>
          <w:szCs w:val="26"/>
          <w:lang w:val="ro-RO"/>
        </w:rPr>
      </w:pPr>
      <w:r w:rsidRPr="0015371C">
        <w:rPr>
          <w:rFonts w:ascii="Tahoma" w:eastAsiaTheme="minorEastAsia" w:hAnsi="Tahoma" w:cs="Tahoma"/>
          <w:b/>
          <w:sz w:val="26"/>
          <w:szCs w:val="26"/>
          <w:lang w:val="ro-RO"/>
        </w:rPr>
        <w:t>Director executiv</w:t>
      </w:r>
    </w:p>
    <w:p w:rsidR="005632FA" w:rsidRPr="0015371C" w:rsidRDefault="00C643B5" w:rsidP="0048411C">
      <w:pPr>
        <w:tabs>
          <w:tab w:val="left" w:pos="720"/>
        </w:tabs>
        <w:spacing w:after="0"/>
        <w:jc w:val="center"/>
        <w:rPr>
          <w:rFonts w:ascii="Tahoma" w:eastAsiaTheme="minorEastAsia" w:hAnsi="Tahoma" w:cs="Tahoma"/>
          <w:b/>
          <w:sz w:val="26"/>
          <w:szCs w:val="26"/>
          <w:lang w:val="ro-RO"/>
        </w:rPr>
      </w:pPr>
      <w:r w:rsidRPr="0015371C">
        <w:rPr>
          <w:rFonts w:ascii="Tahoma" w:eastAsiaTheme="minorEastAsia" w:hAnsi="Tahoma" w:cs="Tahoma"/>
          <w:b/>
          <w:sz w:val="26"/>
          <w:szCs w:val="26"/>
          <w:lang w:val="ro-RO"/>
        </w:rPr>
        <w:t>Cristian Marius NICULAE</w:t>
      </w:r>
    </w:p>
    <w:p w:rsidR="00AE5F36" w:rsidRPr="0015371C" w:rsidRDefault="00AE5F36" w:rsidP="0048411C">
      <w:pPr>
        <w:tabs>
          <w:tab w:val="left" w:pos="720"/>
        </w:tabs>
        <w:spacing w:after="0"/>
        <w:jc w:val="center"/>
        <w:rPr>
          <w:rFonts w:ascii="Tahoma" w:eastAsiaTheme="minorEastAsia" w:hAnsi="Tahoma" w:cs="Tahoma"/>
          <w:b/>
          <w:sz w:val="26"/>
          <w:szCs w:val="26"/>
          <w:lang w:val="ro-RO"/>
        </w:rPr>
      </w:pPr>
    </w:p>
    <w:p w:rsidR="00AE5F36" w:rsidRPr="0015371C" w:rsidRDefault="00AE5F36" w:rsidP="0048411C">
      <w:pPr>
        <w:tabs>
          <w:tab w:val="left" w:pos="720"/>
        </w:tabs>
        <w:spacing w:after="0"/>
        <w:jc w:val="center"/>
        <w:rPr>
          <w:rFonts w:ascii="Tahoma" w:eastAsiaTheme="minorEastAsia" w:hAnsi="Tahoma" w:cs="Tahoma"/>
          <w:b/>
          <w:sz w:val="26"/>
          <w:szCs w:val="26"/>
          <w:lang w:val="ro-RO"/>
        </w:rPr>
      </w:pPr>
    </w:p>
    <w:p w:rsidR="00AE5F36" w:rsidRPr="0015371C" w:rsidRDefault="00AE5F36" w:rsidP="0048411C">
      <w:pPr>
        <w:tabs>
          <w:tab w:val="left" w:pos="720"/>
        </w:tabs>
        <w:spacing w:after="0"/>
        <w:jc w:val="center"/>
        <w:rPr>
          <w:rFonts w:ascii="Tahoma" w:eastAsiaTheme="minorEastAsia" w:hAnsi="Tahoma" w:cs="Tahoma"/>
          <w:b/>
          <w:sz w:val="26"/>
          <w:szCs w:val="26"/>
          <w:lang w:val="ro-RO"/>
        </w:rPr>
      </w:pPr>
    </w:p>
    <w:p w:rsidR="00AE5F36" w:rsidRPr="0015371C" w:rsidRDefault="00AE5F36" w:rsidP="0048411C">
      <w:pPr>
        <w:tabs>
          <w:tab w:val="left" w:pos="720"/>
        </w:tabs>
        <w:spacing w:after="0"/>
        <w:jc w:val="center"/>
        <w:rPr>
          <w:rFonts w:ascii="Tahoma" w:eastAsiaTheme="minorEastAsia" w:hAnsi="Tahoma" w:cs="Tahoma"/>
          <w:b/>
          <w:sz w:val="26"/>
          <w:szCs w:val="26"/>
          <w:lang w:val="ro-RO"/>
        </w:rPr>
      </w:pPr>
    </w:p>
    <w:p w:rsidR="00AE5F36" w:rsidRPr="0015371C" w:rsidRDefault="00AE5F36" w:rsidP="0048411C">
      <w:pPr>
        <w:tabs>
          <w:tab w:val="left" w:pos="720"/>
        </w:tabs>
        <w:spacing w:after="0"/>
        <w:jc w:val="center"/>
        <w:rPr>
          <w:rFonts w:ascii="Tahoma" w:eastAsiaTheme="minorEastAsia" w:hAnsi="Tahoma" w:cs="Tahoma"/>
          <w:b/>
          <w:sz w:val="26"/>
          <w:szCs w:val="26"/>
          <w:lang w:val="ro-RO"/>
        </w:rPr>
      </w:pPr>
    </w:p>
    <w:p w:rsidR="00AE5F36" w:rsidRDefault="00AE5F36" w:rsidP="0048411C">
      <w:pPr>
        <w:tabs>
          <w:tab w:val="left" w:pos="720"/>
        </w:tabs>
        <w:spacing w:after="0"/>
        <w:jc w:val="center"/>
        <w:rPr>
          <w:rFonts w:ascii="Tahoma" w:eastAsiaTheme="minorEastAsia" w:hAnsi="Tahoma" w:cs="Tahoma"/>
          <w:b/>
          <w:sz w:val="26"/>
          <w:szCs w:val="26"/>
          <w:lang w:val="ro-RO"/>
        </w:rPr>
      </w:pPr>
    </w:p>
    <w:p w:rsidR="0015371C" w:rsidRPr="0015371C" w:rsidRDefault="0015371C" w:rsidP="0048411C">
      <w:pPr>
        <w:tabs>
          <w:tab w:val="left" w:pos="720"/>
        </w:tabs>
        <w:spacing w:after="0"/>
        <w:jc w:val="center"/>
        <w:rPr>
          <w:rFonts w:ascii="Tahoma" w:eastAsiaTheme="minorEastAsia" w:hAnsi="Tahoma" w:cs="Tahoma"/>
          <w:b/>
          <w:sz w:val="26"/>
          <w:szCs w:val="26"/>
          <w:lang w:val="ro-RO"/>
        </w:rPr>
      </w:pPr>
    </w:p>
    <w:p w:rsidR="00AE5F36" w:rsidRDefault="00AE5F36"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bookmarkStart w:id="0" w:name="_GoBack"/>
      <w:bookmarkEnd w:id="0"/>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Default="0048411C" w:rsidP="0048411C">
      <w:pPr>
        <w:tabs>
          <w:tab w:val="left" w:pos="720"/>
        </w:tabs>
        <w:spacing w:after="0"/>
        <w:jc w:val="both"/>
        <w:rPr>
          <w:rFonts w:ascii="Tahoma" w:eastAsiaTheme="minorEastAsia" w:hAnsi="Tahoma" w:cs="Tahoma"/>
          <w:sz w:val="26"/>
          <w:szCs w:val="26"/>
          <w:lang w:val="ro-RO"/>
        </w:rPr>
      </w:pPr>
    </w:p>
    <w:p w:rsidR="0048411C" w:rsidRPr="0015371C" w:rsidRDefault="0048411C" w:rsidP="0048411C">
      <w:pPr>
        <w:tabs>
          <w:tab w:val="left" w:pos="720"/>
        </w:tabs>
        <w:spacing w:after="0"/>
        <w:jc w:val="both"/>
        <w:rPr>
          <w:rFonts w:ascii="Tahoma" w:eastAsiaTheme="minorEastAsia" w:hAnsi="Tahoma" w:cs="Tahoma"/>
          <w:sz w:val="26"/>
          <w:szCs w:val="26"/>
          <w:lang w:val="ro-RO"/>
        </w:rPr>
      </w:pPr>
    </w:p>
    <w:p w:rsidR="00AE5F36" w:rsidRPr="0015371C" w:rsidRDefault="00AE5F36" w:rsidP="0048411C">
      <w:pPr>
        <w:tabs>
          <w:tab w:val="left" w:pos="720"/>
        </w:tabs>
        <w:spacing w:after="0"/>
        <w:jc w:val="both"/>
        <w:rPr>
          <w:rFonts w:ascii="Tahoma" w:eastAsiaTheme="minorEastAsia" w:hAnsi="Tahoma" w:cs="Tahoma"/>
          <w:sz w:val="26"/>
          <w:szCs w:val="26"/>
          <w:lang w:val="ro-RO"/>
        </w:rPr>
      </w:pPr>
    </w:p>
    <w:p w:rsidR="00AE5F36" w:rsidRPr="0015371C" w:rsidRDefault="00AE5F36" w:rsidP="0048411C">
      <w:pPr>
        <w:tabs>
          <w:tab w:val="left" w:pos="720"/>
        </w:tabs>
        <w:spacing w:after="0"/>
        <w:jc w:val="both"/>
        <w:rPr>
          <w:rFonts w:ascii="Tahoma" w:eastAsiaTheme="minorEastAsia" w:hAnsi="Tahoma" w:cs="Tahoma"/>
          <w:sz w:val="24"/>
          <w:szCs w:val="24"/>
          <w:lang w:val="ro-RO"/>
        </w:rPr>
      </w:pPr>
      <w:r w:rsidRPr="0015371C">
        <w:rPr>
          <w:rFonts w:ascii="Tahoma" w:eastAsiaTheme="minorEastAsia" w:hAnsi="Tahoma" w:cs="Tahoma"/>
          <w:sz w:val="24"/>
          <w:szCs w:val="24"/>
          <w:lang w:val="ro-RO"/>
        </w:rPr>
        <w:t>Întocmit: Anastasia Hașca- Inspector</w:t>
      </w:r>
    </w:p>
    <w:sectPr w:rsidR="00AE5F36" w:rsidRPr="0015371C" w:rsidSect="00985D5D">
      <w:headerReference w:type="default" r:id="rId9"/>
      <w:footerReference w:type="default" r:id="rId10"/>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07" w:rsidRDefault="007B2B07" w:rsidP="00B660F9">
      <w:pPr>
        <w:spacing w:after="0" w:line="240" w:lineRule="auto"/>
      </w:pPr>
      <w:r>
        <w:separator/>
      </w:r>
    </w:p>
  </w:endnote>
  <w:endnote w:type="continuationSeparator" w:id="0">
    <w:p w:rsidR="007B2B07" w:rsidRDefault="007B2B07"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B3" w:rsidRPr="002874B3" w:rsidRDefault="009D7F78">
    <w:pPr>
      <w:pStyle w:val="Footer"/>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0360A6AA" wp14:editId="2DE687F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" strokecolor="#060" strokeweight="4.5pt"/>
          </w:pict>
        </mc:Fallback>
      </mc:AlternateContent>
    </w:r>
    <w:r w:rsidR="005E3E51">
      <w:rPr>
        <w:rFonts w:ascii="Tahoma" w:hAnsi="Tahoma" w:cs="Tahoma"/>
        <w:b/>
        <w:color w:val="006600"/>
        <w:sz w:val="20"/>
      </w:rPr>
      <w:t xml:space="preserve">BISTRIȚA, Str. </w:t>
    </w:r>
    <w:proofErr w:type="spellStart"/>
    <w:r w:rsidR="005E3E51">
      <w:rPr>
        <w:rFonts w:ascii="Tahoma" w:hAnsi="Tahoma" w:cs="Tahoma"/>
        <w:b/>
        <w:color w:val="006600"/>
        <w:sz w:val="20"/>
      </w:rPr>
      <w:t>Păcii</w:t>
    </w:r>
    <w:proofErr w:type="spellEnd"/>
    <w:r w:rsidR="005E3E51">
      <w:rPr>
        <w:rFonts w:ascii="Tahoma" w:hAnsi="Tahoma" w:cs="Tahoma"/>
        <w:b/>
        <w:color w:val="006600"/>
        <w:sz w:val="20"/>
      </w:rPr>
      <w:t>,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rsidR="002874B3" w:rsidRDefault="0028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07" w:rsidRDefault="007B2B07" w:rsidP="00B660F9">
      <w:pPr>
        <w:spacing w:after="0" w:line="240" w:lineRule="auto"/>
      </w:pPr>
      <w:r>
        <w:separator/>
      </w:r>
    </w:p>
  </w:footnote>
  <w:footnote w:type="continuationSeparator" w:id="0">
    <w:p w:rsidR="007B2B07" w:rsidRDefault="007B2B07" w:rsidP="00B66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F9" w:rsidRDefault="00857B31" w:rsidP="00857B31">
    <w:pPr>
      <w:pStyle w:val="Header"/>
      <w:rPr>
        <w:b/>
        <w:sz w:val="16"/>
      </w:rPr>
    </w:pPr>
    <w:r>
      <w:rPr>
        <w:b/>
        <w:noProof/>
        <w:sz w:val="16"/>
      </w:rPr>
      <w:drawing>
        <wp:anchor distT="0" distB="0" distL="114300" distR="114300" simplePos="0" relativeHeight="251659264" behindDoc="0" locked="0" layoutInCell="1" allowOverlap="1" wp14:anchorId="02B8AB7A" wp14:editId="01971CC0">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1D36926C" wp14:editId="519C0B3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rsidR="00CA4D1C" w:rsidRDefault="009D7F78" w:rsidP="00857B31">
    <w:pPr>
      <w:pStyle w:val="Header"/>
      <w:rPr>
        <w:b/>
        <w:sz w:val="16"/>
      </w:rPr>
    </w:pPr>
    <w:r>
      <w:rPr>
        <w:b/>
        <w:noProof/>
        <w:sz w:val="16"/>
      </w:rPr>
      <mc:AlternateContent>
        <mc:Choice Requires="wps">
          <w:drawing>
            <wp:anchor distT="0" distB="0" distL="114300" distR="114300" simplePos="0" relativeHeight="251661312" behindDoc="0" locked="0" layoutInCell="1" allowOverlap="1" wp14:anchorId="6A6685A5" wp14:editId="7A21F27D">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" strokecolor="#06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6DC4833"/>
    <w:multiLevelType w:val="hybridMultilevel"/>
    <w:tmpl w:val="D7845EF0"/>
    <w:lvl w:ilvl="0" w:tplc="E8743836">
      <w:start w:val="4"/>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D25E5"/>
    <w:multiLevelType w:val="hybridMultilevel"/>
    <w:tmpl w:val="6416FD2E"/>
    <w:lvl w:ilvl="0" w:tplc="9A4AA47E">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9906BA"/>
    <w:multiLevelType w:val="hybridMultilevel"/>
    <w:tmpl w:val="60422808"/>
    <w:lvl w:ilvl="0" w:tplc="A53C781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CA3B17"/>
    <w:multiLevelType w:val="hybridMultilevel"/>
    <w:tmpl w:val="3F762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B33ED9"/>
    <w:multiLevelType w:val="hybridMultilevel"/>
    <w:tmpl w:val="9790E6A0"/>
    <w:lvl w:ilvl="0" w:tplc="6DC81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23">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4">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197725"/>
    <w:multiLevelType w:val="hybridMultilevel"/>
    <w:tmpl w:val="DFC8A23A"/>
    <w:lvl w:ilvl="0" w:tplc="FF2ABA70">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32">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8"/>
  </w:num>
  <w:num w:numId="3">
    <w:abstractNumId w:val="8"/>
  </w:num>
  <w:num w:numId="4">
    <w:abstractNumId w:val="35"/>
  </w:num>
  <w:num w:numId="5">
    <w:abstractNumId w:val="21"/>
  </w:num>
  <w:num w:numId="6">
    <w:abstractNumId w:val="33"/>
  </w:num>
  <w:num w:numId="7">
    <w:abstractNumId w:val="10"/>
  </w:num>
  <w:num w:numId="8">
    <w:abstractNumId w:val="4"/>
  </w:num>
  <w:num w:numId="9">
    <w:abstractNumId w:val="26"/>
  </w:num>
  <w:num w:numId="10">
    <w:abstractNumId w:val="25"/>
  </w:num>
  <w:num w:numId="11">
    <w:abstractNumId w:val="20"/>
  </w:num>
  <w:num w:numId="12">
    <w:abstractNumId w:val="17"/>
  </w:num>
  <w:num w:numId="13">
    <w:abstractNumId w:val="30"/>
  </w:num>
  <w:num w:numId="14">
    <w:abstractNumId w:val="36"/>
  </w:num>
  <w:num w:numId="15">
    <w:abstractNumId w:val="24"/>
  </w:num>
  <w:num w:numId="16">
    <w:abstractNumId w:val="7"/>
  </w:num>
  <w:num w:numId="17">
    <w:abstractNumId w:val="15"/>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3"/>
  </w:num>
  <w:num w:numId="24">
    <w:abstractNumId w:val="3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9"/>
  </w:num>
  <w:num w:numId="28">
    <w:abstractNumId w:val="6"/>
  </w:num>
  <w:num w:numId="29">
    <w:abstractNumId w:val="12"/>
  </w:num>
  <w:num w:numId="30">
    <w:abstractNumId w:val="0"/>
  </w:num>
  <w:num w:numId="31">
    <w:abstractNumId w:val="34"/>
  </w:num>
  <w:num w:numId="32">
    <w:abstractNumId w:val="2"/>
  </w:num>
  <w:num w:numId="33">
    <w:abstractNumId w:val="25"/>
  </w:num>
  <w:num w:numId="34">
    <w:abstractNumId w:val="29"/>
  </w:num>
  <w:num w:numId="35">
    <w:abstractNumId w:val="3"/>
  </w:num>
  <w:num w:numId="36">
    <w:abstractNumId w:val="1"/>
  </w:num>
  <w:num w:numId="37">
    <w:abstractNumId w:val="16"/>
  </w:num>
  <w:num w:numId="38">
    <w:abstractNumId w:val="13"/>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849"/>
    <w:rsid w:val="00075DE0"/>
    <w:rsid w:val="00076728"/>
    <w:rsid w:val="0008151E"/>
    <w:rsid w:val="00084C74"/>
    <w:rsid w:val="00084DBD"/>
    <w:rsid w:val="00090B1E"/>
    <w:rsid w:val="00090CFC"/>
    <w:rsid w:val="000913C6"/>
    <w:rsid w:val="00091956"/>
    <w:rsid w:val="000932EC"/>
    <w:rsid w:val="0009394B"/>
    <w:rsid w:val="00095032"/>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262A"/>
    <w:rsid w:val="000C40C3"/>
    <w:rsid w:val="000C4A3A"/>
    <w:rsid w:val="000C4EC3"/>
    <w:rsid w:val="000C6863"/>
    <w:rsid w:val="000D08D9"/>
    <w:rsid w:val="000D203C"/>
    <w:rsid w:val="000D246D"/>
    <w:rsid w:val="000D2553"/>
    <w:rsid w:val="000D4CFA"/>
    <w:rsid w:val="000E3CCE"/>
    <w:rsid w:val="000E4539"/>
    <w:rsid w:val="000E4FB8"/>
    <w:rsid w:val="000E51FA"/>
    <w:rsid w:val="000F1C39"/>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0781"/>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B38"/>
    <w:rsid w:val="00146387"/>
    <w:rsid w:val="00147F38"/>
    <w:rsid w:val="00152229"/>
    <w:rsid w:val="00152A3C"/>
    <w:rsid w:val="0015333E"/>
    <w:rsid w:val="0015371C"/>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0AC8"/>
    <w:rsid w:val="00212094"/>
    <w:rsid w:val="0021239B"/>
    <w:rsid w:val="002125F7"/>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35FA"/>
    <w:rsid w:val="00235427"/>
    <w:rsid w:val="0024170C"/>
    <w:rsid w:val="0024452E"/>
    <w:rsid w:val="002449CD"/>
    <w:rsid w:val="00244B18"/>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A7B"/>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5A3"/>
    <w:rsid w:val="002C197C"/>
    <w:rsid w:val="002C1E97"/>
    <w:rsid w:val="002C30EC"/>
    <w:rsid w:val="002C3238"/>
    <w:rsid w:val="002C3ED9"/>
    <w:rsid w:val="002C4133"/>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7F6"/>
    <w:rsid w:val="00444F46"/>
    <w:rsid w:val="004455D9"/>
    <w:rsid w:val="00445E5B"/>
    <w:rsid w:val="004500E3"/>
    <w:rsid w:val="00451488"/>
    <w:rsid w:val="0045351B"/>
    <w:rsid w:val="004544E3"/>
    <w:rsid w:val="004565A2"/>
    <w:rsid w:val="004635F6"/>
    <w:rsid w:val="004639A0"/>
    <w:rsid w:val="00465A78"/>
    <w:rsid w:val="00467250"/>
    <w:rsid w:val="0047142C"/>
    <w:rsid w:val="0047153D"/>
    <w:rsid w:val="004716F7"/>
    <w:rsid w:val="0047267C"/>
    <w:rsid w:val="00475E2F"/>
    <w:rsid w:val="004762A6"/>
    <w:rsid w:val="00480404"/>
    <w:rsid w:val="004805B4"/>
    <w:rsid w:val="0048411C"/>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5016"/>
    <w:rsid w:val="005358C7"/>
    <w:rsid w:val="00537840"/>
    <w:rsid w:val="005418E0"/>
    <w:rsid w:val="00542CF7"/>
    <w:rsid w:val="00546B94"/>
    <w:rsid w:val="00547AA1"/>
    <w:rsid w:val="005503ED"/>
    <w:rsid w:val="00550D6E"/>
    <w:rsid w:val="005530D7"/>
    <w:rsid w:val="005576F5"/>
    <w:rsid w:val="00560595"/>
    <w:rsid w:val="00560C6F"/>
    <w:rsid w:val="0056259A"/>
    <w:rsid w:val="005632FA"/>
    <w:rsid w:val="00563C09"/>
    <w:rsid w:val="00564139"/>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0D50"/>
    <w:rsid w:val="005F3699"/>
    <w:rsid w:val="005F402B"/>
    <w:rsid w:val="005F5A59"/>
    <w:rsid w:val="005F5D08"/>
    <w:rsid w:val="005F67D5"/>
    <w:rsid w:val="005F67D7"/>
    <w:rsid w:val="005F7D3B"/>
    <w:rsid w:val="00601034"/>
    <w:rsid w:val="00602565"/>
    <w:rsid w:val="00602E7D"/>
    <w:rsid w:val="00604C96"/>
    <w:rsid w:val="00605FEB"/>
    <w:rsid w:val="00606980"/>
    <w:rsid w:val="00606B34"/>
    <w:rsid w:val="00606BB7"/>
    <w:rsid w:val="0061031C"/>
    <w:rsid w:val="006106BC"/>
    <w:rsid w:val="00613729"/>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155"/>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6F2EEA"/>
    <w:rsid w:val="00702F22"/>
    <w:rsid w:val="0070793E"/>
    <w:rsid w:val="00707AF3"/>
    <w:rsid w:val="007121B2"/>
    <w:rsid w:val="00714623"/>
    <w:rsid w:val="00715693"/>
    <w:rsid w:val="00715A53"/>
    <w:rsid w:val="00720D17"/>
    <w:rsid w:val="00722949"/>
    <w:rsid w:val="0072328C"/>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B12B0"/>
    <w:rsid w:val="007B1608"/>
    <w:rsid w:val="007B2B07"/>
    <w:rsid w:val="007B65D3"/>
    <w:rsid w:val="007C015C"/>
    <w:rsid w:val="007C20B1"/>
    <w:rsid w:val="007C30AE"/>
    <w:rsid w:val="007C57B1"/>
    <w:rsid w:val="007C7DCC"/>
    <w:rsid w:val="007D0925"/>
    <w:rsid w:val="007D09A6"/>
    <w:rsid w:val="007D3293"/>
    <w:rsid w:val="007D54B6"/>
    <w:rsid w:val="007D58AD"/>
    <w:rsid w:val="007D5BD8"/>
    <w:rsid w:val="007D5CAA"/>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2797"/>
    <w:rsid w:val="00875074"/>
    <w:rsid w:val="008755B6"/>
    <w:rsid w:val="008759BF"/>
    <w:rsid w:val="00875AA7"/>
    <w:rsid w:val="008777CF"/>
    <w:rsid w:val="008777E0"/>
    <w:rsid w:val="00882AAF"/>
    <w:rsid w:val="00884AA6"/>
    <w:rsid w:val="00886E4B"/>
    <w:rsid w:val="008878C0"/>
    <w:rsid w:val="00887EC0"/>
    <w:rsid w:val="008913E8"/>
    <w:rsid w:val="00892D4A"/>
    <w:rsid w:val="0089308F"/>
    <w:rsid w:val="008934D3"/>
    <w:rsid w:val="008A0C40"/>
    <w:rsid w:val="008A1775"/>
    <w:rsid w:val="008A1B5E"/>
    <w:rsid w:val="008A22E9"/>
    <w:rsid w:val="008A40B8"/>
    <w:rsid w:val="008A4DDA"/>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2FBB"/>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3E25"/>
    <w:rsid w:val="00925BEE"/>
    <w:rsid w:val="00927D18"/>
    <w:rsid w:val="00930566"/>
    <w:rsid w:val="009313D2"/>
    <w:rsid w:val="00931AB4"/>
    <w:rsid w:val="00932004"/>
    <w:rsid w:val="0093255D"/>
    <w:rsid w:val="00933002"/>
    <w:rsid w:val="009367A5"/>
    <w:rsid w:val="009368F7"/>
    <w:rsid w:val="00937109"/>
    <w:rsid w:val="00937CEA"/>
    <w:rsid w:val="00940E06"/>
    <w:rsid w:val="00945385"/>
    <w:rsid w:val="00946780"/>
    <w:rsid w:val="00946C74"/>
    <w:rsid w:val="00950984"/>
    <w:rsid w:val="009523A5"/>
    <w:rsid w:val="009529CF"/>
    <w:rsid w:val="00954551"/>
    <w:rsid w:val="00966519"/>
    <w:rsid w:val="00966EA9"/>
    <w:rsid w:val="009715B2"/>
    <w:rsid w:val="00971AC6"/>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166D"/>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0629"/>
    <w:rsid w:val="00A71B54"/>
    <w:rsid w:val="00A739DB"/>
    <w:rsid w:val="00A73BB4"/>
    <w:rsid w:val="00A751FE"/>
    <w:rsid w:val="00A75E76"/>
    <w:rsid w:val="00A76605"/>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0F23"/>
    <w:rsid w:val="00AC2030"/>
    <w:rsid w:val="00AC3012"/>
    <w:rsid w:val="00AC51FD"/>
    <w:rsid w:val="00AC5D0F"/>
    <w:rsid w:val="00AC6A70"/>
    <w:rsid w:val="00AD0541"/>
    <w:rsid w:val="00AD508B"/>
    <w:rsid w:val="00AD75BB"/>
    <w:rsid w:val="00AD7961"/>
    <w:rsid w:val="00AE109D"/>
    <w:rsid w:val="00AE34A8"/>
    <w:rsid w:val="00AE5C1F"/>
    <w:rsid w:val="00AE5F36"/>
    <w:rsid w:val="00AF07BB"/>
    <w:rsid w:val="00AF25DC"/>
    <w:rsid w:val="00AF5C3E"/>
    <w:rsid w:val="00B014F1"/>
    <w:rsid w:val="00B021D4"/>
    <w:rsid w:val="00B03FE2"/>
    <w:rsid w:val="00B04CC0"/>
    <w:rsid w:val="00B05429"/>
    <w:rsid w:val="00B057D2"/>
    <w:rsid w:val="00B0629A"/>
    <w:rsid w:val="00B07DFF"/>
    <w:rsid w:val="00B102AE"/>
    <w:rsid w:val="00B137B6"/>
    <w:rsid w:val="00B13B7E"/>
    <w:rsid w:val="00B14DF9"/>
    <w:rsid w:val="00B16C37"/>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0256"/>
    <w:rsid w:val="00B510D2"/>
    <w:rsid w:val="00B51C23"/>
    <w:rsid w:val="00B52F95"/>
    <w:rsid w:val="00B53193"/>
    <w:rsid w:val="00B54225"/>
    <w:rsid w:val="00B54725"/>
    <w:rsid w:val="00B54D41"/>
    <w:rsid w:val="00B54E13"/>
    <w:rsid w:val="00B56018"/>
    <w:rsid w:val="00B573CC"/>
    <w:rsid w:val="00B62DFE"/>
    <w:rsid w:val="00B639D9"/>
    <w:rsid w:val="00B660F9"/>
    <w:rsid w:val="00B67632"/>
    <w:rsid w:val="00B67D3D"/>
    <w:rsid w:val="00B7020E"/>
    <w:rsid w:val="00B704C8"/>
    <w:rsid w:val="00B706A4"/>
    <w:rsid w:val="00B72BE0"/>
    <w:rsid w:val="00B7352C"/>
    <w:rsid w:val="00B7535B"/>
    <w:rsid w:val="00B756D3"/>
    <w:rsid w:val="00B81402"/>
    <w:rsid w:val="00B81DBE"/>
    <w:rsid w:val="00B82090"/>
    <w:rsid w:val="00B8330F"/>
    <w:rsid w:val="00B83313"/>
    <w:rsid w:val="00B838D9"/>
    <w:rsid w:val="00B83B54"/>
    <w:rsid w:val="00B8506C"/>
    <w:rsid w:val="00B875BC"/>
    <w:rsid w:val="00B87917"/>
    <w:rsid w:val="00B90687"/>
    <w:rsid w:val="00B928F5"/>
    <w:rsid w:val="00BA12DA"/>
    <w:rsid w:val="00BA4B1F"/>
    <w:rsid w:val="00BA5805"/>
    <w:rsid w:val="00BA7F96"/>
    <w:rsid w:val="00BB0166"/>
    <w:rsid w:val="00BB0355"/>
    <w:rsid w:val="00BB05F5"/>
    <w:rsid w:val="00BB13D6"/>
    <w:rsid w:val="00BB1653"/>
    <w:rsid w:val="00BB231D"/>
    <w:rsid w:val="00BB25AA"/>
    <w:rsid w:val="00BB3AED"/>
    <w:rsid w:val="00BB3EBC"/>
    <w:rsid w:val="00BB426E"/>
    <w:rsid w:val="00BB5B87"/>
    <w:rsid w:val="00BB6483"/>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624B"/>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4A5"/>
    <w:rsid w:val="00C705D0"/>
    <w:rsid w:val="00C71198"/>
    <w:rsid w:val="00C722BF"/>
    <w:rsid w:val="00C725EF"/>
    <w:rsid w:val="00C72F85"/>
    <w:rsid w:val="00C73707"/>
    <w:rsid w:val="00C82495"/>
    <w:rsid w:val="00C876BC"/>
    <w:rsid w:val="00C87D6F"/>
    <w:rsid w:val="00C91D4C"/>
    <w:rsid w:val="00C926C9"/>
    <w:rsid w:val="00C958C5"/>
    <w:rsid w:val="00C96C11"/>
    <w:rsid w:val="00C972C4"/>
    <w:rsid w:val="00CA47C5"/>
    <w:rsid w:val="00CA4D1C"/>
    <w:rsid w:val="00CA7760"/>
    <w:rsid w:val="00CB208F"/>
    <w:rsid w:val="00CB27EA"/>
    <w:rsid w:val="00CB38C0"/>
    <w:rsid w:val="00CB44AE"/>
    <w:rsid w:val="00CB51B7"/>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3647"/>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5BDB"/>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2F6F"/>
    <w:rsid w:val="00D44A0E"/>
    <w:rsid w:val="00D44E29"/>
    <w:rsid w:val="00D45A1D"/>
    <w:rsid w:val="00D45E47"/>
    <w:rsid w:val="00D5047A"/>
    <w:rsid w:val="00D52D17"/>
    <w:rsid w:val="00D5382C"/>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0A4F"/>
    <w:rsid w:val="00E21B7B"/>
    <w:rsid w:val="00E2394C"/>
    <w:rsid w:val="00E25187"/>
    <w:rsid w:val="00E25BE7"/>
    <w:rsid w:val="00E273DB"/>
    <w:rsid w:val="00E3062F"/>
    <w:rsid w:val="00E315A8"/>
    <w:rsid w:val="00E318C4"/>
    <w:rsid w:val="00E370F3"/>
    <w:rsid w:val="00E3726E"/>
    <w:rsid w:val="00E40364"/>
    <w:rsid w:val="00E41C17"/>
    <w:rsid w:val="00E41CD7"/>
    <w:rsid w:val="00E42840"/>
    <w:rsid w:val="00E44212"/>
    <w:rsid w:val="00E508F9"/>
    <w:rsid w:val="00E516DB"/>
    <w:rsid w:val="00E537D5"/>
    <w:rsid w:val="00E54615"/>
    <w:rsid w:val="00E5726F"/>
    <w:rsid w:val="00E612D0"/>
    <w:rsid w:val="00E61797"/>
    <w:rsid w:val="00E658D0"/>
    <w:rsid w:val="00E7337D"/>
    <w:rsid w:val="00E74124"/>
    <w:rsid w:val="00E75619"/>
    <w:rsid w:val="00E76F84"/>
    <w:rsid w:val="00E7786E"/>
    <w:rsid w:val="00E815CF"/>
    <w:rsid w:val="00E81B8D"/>
    <w:rsid w:val="00E83E37"/>
    <w:rsid w:val="00E8716C"/>
    <w:rsid w:val="00E90B55"/>
    <w:rsid w:val="00E96384"/>
    <w:rsid w:val="00EA0F22"/>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275"/>
    <w:rsid w:val="00F40882"/>
    <w:rsid w:val="00F40E0B"/>
    <w:rsid w:val="00F41DE0"/>
    <w:rsid w:val="00F420F0"/>
    <w:rsid w:val="00F422F7"/>
    <w:rsid w:val="00F42AFB"/>
    <w:rsid w:val="00F47585"/>
    <w:rsid w:val="00F50153"/>
    <w:rsid w:val="00F52328"/>
    <w:rsid w:val="00F527F7"/>
    <w:rsid w:val="00F52D42"/>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6BD4"/>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E3890"/>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2323">
      <w:bodyDiv w:val="1"/>
      <w:marLeft w:val="0"/>
      <w:marRight w:val="0"/>
      <w:marTop w:val="0"/>
      <w:marBottom w:val="0"/>
      <w:divBdr>
        <w:top w:val="none" w:sz="0" w:space="0" w:color="auto"/>
        <w:left w:val="none" w:sz="0" w:space="0" w:color="auto"/>
        <w:bottom w:val="none" w:sz="0" w:space="0" w:color="auto"/>
        <w:right w:val="none" w:sz="0" w:space="0" w:color="auto"/>
      </w:divBdr>
    </w:div>
    <w:div w:id="81996010">
      <w:bodyDiv w:val="1"/>
      <w:marLeft w:val="0"/>
      <w:marRight w:val="0"/>
      <w:marTop w:val="0"/>
      <w:marBottom w:val="0"/>
      <w:divBdr>
        <w:top w:val="none" w:sz="0" w:space="0" w:color="auto"/>
        <w:left w:val="none" w:sz="0" w:space="0" w:color="auto"/>
        <w:bottom w:val="none" w:sz="0" w:space="0" w:color="auto"/>
        <w:right w:val="none" w:sz="0" w:space="0" w:color="auto"/>
      </w:divBdr>
    </w:div>
    <w:div w:id="169608665">
      <w:bodyDiv w:val="1"/>
      <w:marLeft w:val="0"/>
      <w:marRight w:val="0"/>
      <w:marTop w:val="0"/>
      <w:marBottom w:val="0"/>
      <w:divBdr>
        <w:top w:val="none" w:sz="0" w:space="0" w:color="auto"/>
        <w:left w:val="none" w:sz="0" w:space="0" w:color="auto"/>
        <w:bottom w:val="none" w:sz="0" w:space="0" w:color="auto"/>
        <w:right w:val="none" w:sz="0" w:space="0" w:color="auto"/>
      </w:divBdr>
    </w:div>
    <w:div w:id="191842202">
      <w:bodyDiv w:val="1"/>
      <w:marLeft w:val="0"/>
      <w:marRight w:val="0"/>
      <w:marTop w:val="0"/>
      <w:marBottom w:val="0"/>
      <w:divBdr>
        <w:top w:val="none" w:sz="0" w:space="0" w:color="auto"/>
        <w:left w:val="none" w:sz="0" w:space="0" w:color="auto"/>
        <w:bottom w:val="none" w:sz="0" w:space="0" w:color="auto"/>
        <w:right w:val="none" w:sz="0" w:space="0" w:color="auto"/>
      </w:divBdr>
    </w:div>
    <w:div w:id="215241886">
      <w:bodyDiv w:val="1"/>
      <w:marLeft w:val="0"/>
      <w:marRight w:val="0"/>
      <w:marTop w:val="0"/>
      <w:marBottom w:val="0"/>
      <w:divBdr>
        <w:top w:val="none" w:sz="0" w:space="0" w:color="auto"/>
        <w:left w:val="none" w:sz="0" w:space="0" w:color="auto"/>
        <w:bottom w:val="none" w:sz="0" w:space="0" w:color="auto"/>
        <w:right w:val="none" w:sz="0" w:space="0" w:color="auto"/>
      </w:divBdr>
    </w:div>
    <w:div w:id="231353519">
      <w:bodyDiv w:val="1"/>
      <w:marLeft w:val="0"/>
      <w:marRight w:val="0"/>
      <w:marTop w:val="0"/>
      <w:marBottom w:val="0"/>
      <w:divBdr>
        <w:top w:val="none" w:sz="0" w:space="0" w:color="auto"/>
        <w:left w:val="none" w:sz="0" w:space="0" w:color="auto"/>
        <w:bottom w:val="none" w:sz="0" w:space="0" w:color="auto"/>
        <w:right w:val="none" w:sz="0" w:space="0" w:color="auto"/>
      </w:divBdr>
    </w:div>
    <w:div w:id="274212139">
      <w:bodyDiv w:val="1"/>
      <w:marLeft w:val="0"/>
      <w:marRight w:val="0"/>
      <w:marTop w:val="0"/>
      <w:marBottom w:val="0"/>
      <w:divBdr>
        <w:top w:val="none" w:sz="0" w:space="0" w:color="auto"/>
        <w:left w:val="none" w:sz="0" w:space="0" w:color="auto"/>
        <w:bottom w:val="none" w:sz="0" w:space="0" w:color="auto"/>
        <w:right w:val="none" w:sz="0" w:space="0" w:color="auto"/>
      </w:divBdr>
    </w:div>
    <w:div w:id="413167900">
      <w:bodyDiv w:val="1"/>
      <w:marLeft w:val="0"/>
      <w:marRight w:val="0"/>
      <w:marTop w:val="0"/>
      <w:marBottom w:val="0"/>
      <w:divBdr>
        <w:top w:val="none" w:sz="0" w:space="0" w:color="auto"/>
        <w:left w:val="none" w:sz="0" w:space="0" w:color="auto"/>
        <w:bottom w:val="none" w:sz="0" w:space="0" w:color="auto"/>
        <w:right w:val="none" w:sz="0" w:space="0" w:color="auto"/>
      </w:divBdr>
    </w:div>
    <w:div w:id="415564932">
      <w:bodyDiv w:val="1"/>
      <w:marLeft w:val="0"/>
      <w:marRight w:val="0"/>
      <w:marTop w:val="0"/>
      <w:marBottom w:val="0"/>
      <w:divBdr>
        <w:top w:val="none" w:sz="0" w:space="0" w:color="auto"/>
        <w:left w:val="none" w:sz="0" w:space="0" w:color="auto"/>
        <w:bottom w:val="none" w:sz="0" w:space="0" w:color="auto"/>
        <w:right w:val="none" w:sz="0" w:space="0" w:color="auto"/>
      </w:divBdr>
    </w:div>
    <w:div w:id="462234138">
      <w:bodyDiv w:val="1"/>
      <w:marLeft w:val="0"/>
      <w:marRight w:val="0"/>
      <w:marTop w:val="0"/>
      <w:marBottom w:val="0"/>
      <w:divBdr>
        <w:top w:val="none" w:sz="0" w:space="0" w:color="auto"/>
        <w:left w:val="none" w:sz="0" w:space="0" w:color="auto"/>
        <w:bottom w:val="none" w:sz="0" w:space="0" w:color="auto"/>
        <w:right w:val="none" w:sz="0" w:space="0" w:color="auto"/>
      </w:divBdr>
    </w:div>
    <w:div w:id="474641945">
      <w:bodyDiv w:val="1"/>
      <w:marLeft w:val="0"/>
      <w:marRight w:val="0"/>
      <w:marTop w:val="0"/>
      <w:marBottom w:val="0"/>
      <w:divBdr>
        <w:top w:val="none" w:sz="0" w:space="0" w:color="auto"/>
        <w:left w:val="none" w:sz="0" w:space="0" w:color="auto"/>
        <w:bottom w:val="none" w:sz="0" w:space="0" w:color="auto"/>
        <w:right w:val="none" w:sz="0" w:space="0" w:color="auto"/>
      </w:divBdr>
    </w:div>
    <w:div w:id="475873451">
      <w:bodyDiv w:val="1"/>
      <w:marLeft w:val="0"/>
      <w:marRight w:val="0"/>
      <w:marTop w:val="0"/>
      <w:marBottom w:val="0"/>
      <w:divBdr>
        <w:top w:val="none" w:sz="0" w:space="0" w:color="auto"/>
        <w:left w:val="none" w:sz="0" w:space="0" w:color="auto"/>
        <w:bottom w:val="none" w:sz="0" w:space="0" w:color="auto"/>
        <w:right w:val="none" w:sz="0" w:space="0" w:color="auto"/>
      </w:divBdr>
    </w:div>
    <w:div w:id="744764045">
      <w:bodyDiv w:val="1"/>
      <w:marLeft w:val="0"/>
      <w:marRight w:val="0"/>
      <w:marTop w:val="0"/>
      <w:marBottom w:val="0"/>
      <w:divBdr>
        <w:top w:val="none" w:sz="0" w:space="0" w:color="auto"/>
        <w:left w:val="none" w:sz="0" w:space="0" w:color="auto"/>
        <w:bottom w:val="none" w:sz="0" w:space="0" w:color="auto"/>
        <w:right w:val="none" w:sz="0" w:space="0" w:color="auto"/>
      </w:divBdr>
    </w:div>
    <w:div w:id="777065615">
      <w:bodyDiv w:val="1"/>
      <w:marLeft w:val="0"/>
      <w:marRight w:val="0"/>
      <w:marTop w:val="0"/>
      <w:marBottom w:val="0"/>
      <w:divBdr>
        <w:top w:val="none" w:sz="0" w:space="0" w:color="auto"/>
        <w:left w:val="none" w:sz="0" w:space="0" w:color="auto"/>
        <w:bottom w:val="none" w:sz="0" w:space="0" w:color="auto"/>
        <w:right w:val="none" w:sz="0" w:space="0" w:color="auto"/>
      </w:divBdr>
    </w:div>
    <w:div w:id="840389068">
      <w:bodyDiv w:val="1"/>
      <w:marLeft w:val="0"/>
      <w:marRight w:val="0"/>
      <w:marTop w:val="0"/>
      <w:marBottom w:val="0"/>
      <w:divBdr>
        <w:top w:val="none" w:sz="0" w:space="0" w:color="auto"/>
        <w:left w:val="none" w:sz="0" w:space="0" w:color="auto"/>
        <w:bottom w:val="none" w:sz="0" w:space="0" w:color="auto"/>
        <w:right w:val="none" w:sz="0" w:space="0" w:color="auto"/>
      </w:divBdr>
    </w:div>
    <w:div w:id="968128800">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084107727">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525898113">
      <w:bodyDiv w:val="1"/>
      <w:marLeft w:val="0"/>
      <w:marRight w:val="0"/>
      <w:marTop w:val="0"/>
      <w:marBottom w:val="0"/>
      <w:divBdr>
        <w:top w:val="none" w:sz="0" w:space="0" w:color="auto"/>
        <w:left w:val="none" w:sz="0" w:space="0" w:color="auto"/>
        <w:bottom w:val="none" w:sz="0" w:space="0" w:color="auto"/>
        <w:right w:val="none" w:sz="0" w:space="0" w:color="auto"/>
      </w:divBdr>
    </w:div>
    <w:div w:id="1599218058">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57DF2-3E6B-40D0-8709-8F122D3F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adibn_pia</cp:lastModifiedBy>
  <cp:revision>6</cp:revision>
  <cp:lastPrinted>2025-10-13T08:11:00Z</cp:lastPrinted>
  <dcterms:created xsi:type="dcterms:W3CDTF">2025-10-13T07:31:00Z</dcterms:created>
  <dcterms:modified xsi:type="dcterms:W3CDTF">2025-10-13T10:58:00Z</dcterms:modified>
</cp:coreProperties>
</file>